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rebuchet MS" w:cs="Trebuchet MS" w:eastAsia="Trebuchet MS" w:hAnsi="Trebuchet MS"/>
          <w:b/>
          <w:bCs/>
          <w:color w:val="1A1A2E"/>
          <w:spacing w:val="80"/>
          <w:sz w:val="36"/>
          <w:szCs w:val="36"/>
        </w:rPr>
        <w:t xml:space="preserve">REMAN MOHAMMED BADAWOOD</w:t>
      </w:r>
    </w:p>
    <w:p>
      <w:pPr>
        <w:pBdr>
          <w:bottom w:val="single" w:color="9E7B4F" w:sz="8" w:space="10"/>
        </w:pBdr>
        <w:spacing w:after="80"/>
      </w:pPr>
      <w:r>
        <w:rPr>
          <w:rFonts w:ascii="Calibri" w:cs="Calibri" w:eastAsia="Calibri" w:hAnsi="Calibri"/>
          <w:b/>
          <w:bCs/>
          <w:color w:val="9E7B4F"/>
          <w:sz w:val="24"/>
          <w:szCs w:val="24"/>
        </w:rPr>
        <w:t xml:space="preserve">Healthcare Digital Transformation &amp; Audit Analytics Leader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AI-Driven Analytics  |  Risk Assessment  |  Compliance Monitoring  |  Process Improvement</w:t>
      </w:r>
    </w:p>
    <w:p>
      <w:pPr>
        <w:spacing w:after="30"/>
      </w:pPr>
      <w:r>
        <w:rPr>
          <w:rFonts w:ascii="Calibri" w:cs="Calibri" w:eastAsia="Calibri" w:hAnsi="Calibri"/>
          <w:color w:val="777777"/>
          <w:sz w:val="19"/>
          <w:szCs w:val="19"/>
        </w:rPr>
        <w:t xml:space="preserve">Riyadh, Saudi Arabia   ·   reman.m.b@hotmail.com   ·   SCFHS Licensed Registered Nurse</w:t>
      </w:r>
    </w:p>
    <w:p>
      <w:pPr>
        <w:spacing w:after="160"/>
      </w:pPr>
    </w:p>
    <w:p>
      <w:pPr>
        <w:pBdr>
          <w:bottom w:val="single" w:color="9E7B4F" w:sz="6" w:space="6"/>
        </w:pBdr>
        <w:spacing w:after="160" w:before="360"/>
      </w:pPr>
      <w:r>
        <w:rPr>
          <w:rFonts w:ascii="Trebuchet MS" w:cs="Trebuchet MS" w:eastAsia="Trebuchet MS" w:hAnsi="Trebuchet MS"/>
          <w:b/>
          <w:bCs/>
          <w:color w:val="1A1A2E"/>
          <w:spacing w:val="120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Healthcare operations and quality leader with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10+ years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of progressive experience spanning critical care, home healthcare operations, leadership, compliance monitoring, audit analytics, and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digital transformation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Demonstrated success in leading large-scale healthcare operations, overseeing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112+ clinical staff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across multiple service lines, developing audit frameworks, monitoring compliance, identifying operational risks, and building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AI-assisted analytics tools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to support strategic decision-making.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Skilled in bridging healthcare domain expertise with business operations, data analytics, and digital innovation to improve workflows, strengthen internal controls, and drive measurable organizational performance.</w:t>
      </w:r>
    </w:p>
    <w:p>
      <w:pPr>
        <w:spacing w:after="100"/>
      </w:pPr>
    </w:p>
    <w:p>
      <w:pPr>
        <w:pBdr>
          <w:bottom w:val="single" w:color="9E7B4F" w:sz="6" w:space="6"/>
        </w:pBdr>
        <w:spacing w:after="160" w:before="360"/>
      </w:pPr>
      <w:r>
        <w:rPr>
          <w:rFonts w:ascii="Trebuchet MS" w:cs="Trebuchet MS" w:eastAsia="Trebuchet MS" w:hAnsi="Trebuchet MS"/>
          <w:b/>
          <w:bCs/>
          <w:color w:val="1A1A2E"/>
          <w:spacing w:val="120"/>
          <w:sz w:val="22"/>
          <w:szCs w:val="22"/>
        </w:rPr>
        <w:t xml:space="preserve">CORE COMPETENCIES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9E7B4F" w:sz="4"/>
              <w:left w:val="single" w:color="DDDDDD" w:sz="1"/>
              <w:bottom w:val="single" w:color="DDDDDD" w:sz="1"/>
              <w:right w:val="single" w:color="DDDDDD" w:sz="1"/>
            </w:tcBorders>
            <w:shd w:color="F5F3EF" w:val="solid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0"/>
                <w:szCs w:val="20"/>
              </w:rPr>
              <w:t xml:space="preserve">Operations, Audit &amp; Risk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E7B4F"/>
                <w:sz w:val="18"/>
                <w:szCs w:val="18"/>
              </w:rPr>
              <w:t xml:space="preserve">  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Operational Audit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E7B4F"/>
                <w:sz w:val="18"/>
                <w:szCs w:val="18"/>
              </w:rPr>
              <w:t xml:space="preserve">  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Compliance Monitoring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E7B4F"/>
                <w:sz w:val="18"/>
                <w:szCs w:val="18"/>
              </w:rPr>
              <w:t xml:space="preserve">  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Risk Assessment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E7B4F"/>
                <w:sz w:val="18"/>
                <w:szCs w:val="18"/>
              </w:rPr>
              <w:t xml:space="preserve">  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Root Cause Analysis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E7B4F"/>
                <w:sz w:val="18"/>
                <w:szCs w:val="18"/>
              </w:rPr>
              <w:t xml:space="preserve">  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Corrective Action Planning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E7B4F"/>
                <w:sz w:val="18"/>
                <w:szCs w:val="18"/>
              </w:rPr>
              <w:t xml:space="preserve">  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Incident Investigation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E7B4F"/>
                <w:sz w:val="18"/>
                <w:szCs w:val="18"/>
              </w:rPr>
              <w:t xml:space="preserve">  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Process Improvement</w:t>
            </w:r>
          </w:p>
        </w:tc>
        <w:tc>
          <w:tcPr>
            <w:tcW w:type="pct" w:w="33%"/>
            <w:tcBorders>
              <w:top w:val="single" w:color="9E7B4F" w:sz="4"/>
              <w:left w:val="single" w:color="DDDDDD" w:sz="1"/>
              <w:bottom w:val="single" w:color="DDDDDD" w:sz="1"/>
              <w:right w:val="single" w:color="DDDDDD" w:sz="1"/>
            </w:tcBorders>
            <w:shd w:color="F5F3EF" w:val="solid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0"/>
                <w:szCs w:val="20"/>
              </w:rPr>
              <w:t xml:space="preserve">Data Analytics &amp; Reporting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E7B4F"/>
                <w:sz w:val="18"/>
                <w:szCs w:val="18"/>
              </w:rPr>
              <w:t xml:space="preserve">  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KPI Dashboards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E7B4F"/>
                <w:sz w:val="18"/>
                <w:szCs w:val="18"/>
              </w:rPr>
              <w:t xml:space="preserve">  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Data Cleaning &amp; Trend Analysis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E7B4F"/>
                <w:sz w:val="18"/>
                <w:szCs w:val="18"/>
              </w:rPr>
              <w:t xml:space="preserve">  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Performance Reporting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E7B4F"/>
                <w:sz w:val="18"/>
                <w:szCs w:val="18"/>
              </w:rPr>
              <w:t xml:space="preserve">  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Operational Analytics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E7B4F"/>
                <w:sz w:val="18"/>
                <w:szCs w:val="18"/>
              </w:rPr>
              <w:t xml:space="preserve">  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Risk Indicators (KRIs)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E7B4F"/>
                <w:sz w:val="18"/>
                <w:szCs w:val="18"/>
              </w:rPr>
              <w:t xml:space="preserve">  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Data Storytelling</w:t>
            </w:r>
          </w:p>
        </w:tc>
        <w:tc>
          <w:tcPr>
            <w:tcW w:type="pct" w:w="33%"/>
            <w:tcBorders>
              <w:top w:val="single" w:color="9E7B4F" w:sz="4"/>
              <w:left w:val="single" w:color="DDDDDD" w:sz="1"/>
              <w:bottom w:val="single" w:color="DDDDDD" w:sz="1"/>
              <w:right w:val="single" w:color="DDDDDD" w:sz="1"/>
            </w:tcBorders>
            <w:shd w:color="F5F3EF" w:val="solid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</w:pPr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0"/>
                <w:szCs w:val="20"/>
              </w:rPr>
              <w:t xml:space="preserve">Digital Transformation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E7B4F"/>
                <w:sz w:val="18"/>
                <w:szCs w:val="18"/>
              </w:rPr>
              <w:t xml:space="preserve">  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AI-assisted Automation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E7B4F"/>
                <w:sz w:val="18"/>
                <w:szCs w:val="18"/>
              </w:rPr>
              <w:t xml:space="preserve">  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Dashboard Development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E7B4F"/>
                <w:sz w:val="18"/>
                <w:szCs w:val="18"/>
              </w:rPr>
              <w:t xml:space="preserve">  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Product Requirement Analysis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E7B4F"/>
                <w:sz w:val="18"/>
                <w:szCs w:val="18"/>
              </w:rPr>
              <w:t xml:space="preserve">  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Workflow Optimization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9E7B4F"/>
                <w:sz w:val="18"/>
                <w:szCs w:val="18"/>
              </w:rPr>
              <w:t xml:space="preserve">  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Internal Digital Tools</w:t>
            </w:r>
          </w:p>
        </w:tc>
      </w:tr>
    </w:tbl>
    <w:p>
      <w:pPr>
        <w:spacing w:after="100"/>
      </w:pPr>
    </w:p>
    <w:p>
      <w:pPr>
        <w:pBdr>
          <w:bottom w:val="single" w:color="9E7B4F" w:sz="6" w:space="6"/>
        </w:pBdr>
        <w:spacing w:after="160" w:before="360"/>
      </w:pPr>
      <w:r>
        <w:rPr>
          <w:rFonts w:ascii="Trebuchet MS" w:cs="Trebuchet MS" w:eastAsia="Trebuchet MS" w:hAnsi="Trebuchet MS"/>
          <w:b/>
          <w:bCs/>
          <w:color w:val="1A1A2E"/>
          <w:spacing w:val="120"/>
          <w:sz w:val="22"/>
          <w:szCs w:val="22"/>
        </w:rPr>
        <w:t xml:space="preserve">PROFESSIONAL EXPERIENCE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E8B82"/>
          <w:sz w:val="19"/>
          <w:szCs w:val="19"/>
        </w:rPr>
        <w:t xml:space="preserve">2025 — Present</w:t>
      </w:r>
    </w:p>
    <w:p>
      <w:pPr>
        <w:spacing w:after="30"/>
      </w:pPr>
      <w:r>
        <w:rPr>
          <w:rFonts w:ascii="Trebuchet MS" w:cs="Trebuchet MS" w:eastAsia="Trebuchet MS" w:hAnsi="Trebuchet MS"/>
          <w:b/>
          <w:bCs/>
          <w:color w:val="1A1A2E"/>
          <w:sz w:val="23"/>
          <w:szCs w:val="23"/>
        </w:rPr>
        <w:t xml:space="preserve">Head Nurse — Operations, Compliance &amp; Analytics Lead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777777"/>
          <w:sz w:val="21"/>
          <w:szCs w:val="21"/>
        </w:rPr>
        <w:t xml:space="preserve">Meena Health Group  ·  Riyadh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Oversee operational performance and compliance monitoring for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112 nurses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across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7 specialized services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Designed KPI dashboards and analytics reports for performance tracking and decision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operational audit systems to monitor staff readiness, documentation quality, compliance, and performance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Identified workflow bottlenecks and operational risks, implementing corrective actions to improve service quality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Analyzed complaints, incidents, and service trends to identify root causes and support risk mitigation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Led accreditation readiness and policy implementation across multiple service lines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internal AI-assisted digital solutions including operational dashboards, LMS, and nurse management systems</w:t>
      </w:r>
    </w:p>
    <w:p>
      <w:pPr>
        <w:spacing w:after="100"/>
      </w:pPr>
    </w:p>
    <w:p>
      <w:pPr>
        <w:spacing w:after="20"/>
      </w:pPr>
      <w:r>
        <w:rPr>
          <w:rFonts w:ascii="Calibri" w:cs="Calibri" w:eastAsia="Calibri" w:hAnsi="Calibri"/>
          <w:b/>
          <w:bCs/>
          <w:color w:val="2E8B82"/>
          <w:sz w:val="19"/>
          <w:szCs w:val="19"/>
        </w:rPr>
        <w:t xml:space="preserve">2023 — 2025</w:t>
      </w:r>
    </w:p>
    <w:p>
      <w:pPr>
        <w:spacing w:after="30"/>
      </w:pPr>
      <w:r>
        <w:rPr>
          <w:rFonts w:ascii="Trebuchet MS" w:cs="Trebuchet MS" w:eastAsia="Trebuchet MS" w:hAnsi="Trebuchet MS"/>
          <w:b/>
          <w:bCs/>
          <w:color w:val="1A1A2E"/>
          <w:sz w:val="23"/>
          <w:szCs w:val="23"/>
        </w:rPr>
        <w:t xml:space="preserve">Acting Head Nurse — Home Healthcare Operations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777777"/>
          <w:sz w:val="21"/>
          <w:szCs w:val="21"/>
        </w:rPr>
        <w:t xml:space="preserve">King Khalid University Hospital  ·  Riyadh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Supervised home healthcare operations and staff performance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Monitored compliance with documentation and quality standards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Supported workflow optimization and service quality improvement initiatives</w:t>
      </w:r>
    </w:p>
    <w:p>
      <w:pPr>
        <w:spacing w:after="100"/>
      </w:pPr>
    </w:p>
    <w:p>
      <w:pPr>
        <w:spacing w:after="20"/>
      </w:pPr>
      <w:r>
        <w:rPr>
          <w:rFonts w:ascii="Calibri" w:cs="Calibri" w:eastAsia="Calibri" w:hAnsi="Calibri"/>
          <w:b/>
          <w:bCs/>
          <w:color w:val="2E8B82"/>
          <w:sz w:val="19"/>
          <w:szCs w:val="19"/>
        </w:rPr>
        <w:t xml:space="preserve">2020 — 2023</w:t>
      </w:r>
    </w:p>
    <w:p>
      <w:pPr>
        <w:spacing w:after="30"/>
      </w:pPr>
      <w:r>
        <w:rPr>
          <w:rFonts w:ascii="Trebuchet MS" w:cs="Trebuchet MS" w:eastAsia="Trebuchet MS" w:hAnsi="Trebuchet MS"/>
          <w:b/>
          <w:bCs/>
          <w:color w:val="1A1A2E"/>
          <w:sz w:val="23"/>
          <w:szCs w:val="23"/>
        </w:rPr>
        <w:t xml:space="preserve">Clinical Operations / Charge Nurse — Home Healthcare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777777"/>
          <w:sz w:val="21"/>
          <w:szCs w:val="21"/>
        </w:rPr>
        <w:t xml:space="preserve">King Fahad Medical City  ·  Riyadh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Delivered specialized home healthcare 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Ensured clinical documentation compliance and service quality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Participated in operational monitoring and quality initiatives</w:t>
      </w:r>
    </w:p>
    <w:p>
      <w:pPr>
        <w:spacing w:after="100"/>
      </w:pPr>
    </w:p>
    <w:p>
      <w:pPr>
        <w:spacing w:after="20"/>
      </w:pPr>
      <w:r>
        <w:rPr>
          <w:rFonts w:ascii="Calibri" w:cs="Calibri" w:eastAsia="Calibri" w:hAnsi="Calibri"/>
          <w:b/>
          <w:bCs/>
          <w:color w:val="2E8B82"/>
          <w:sz w:val="19"/>
          <w:szCs w:val="19"/>
        </w:rPr>
        <w:t xml:space="preserve">2016 — 2020</w:t>
      </w:r>
    </w:p>
    <w:p>
      <w:pPr>
        <w:spacing w:after="30"/>
      </w:pPr>
      <w:r>
        <w:rPr>
          <w:rFonts w:ascii="Trebuchet MS" w:cs="Trebuchet MS" w:eastAsia="Trebuchet MS" w:hAnsi="Trebuchet MS"/>
          <w:b/>
          <w:bCs/>
          <w:color w:val="1A1A2E"/>
          <w:sz w:val="23"/>
          <w:szCs w:val="23"/>
        </w:rPr>
        <w:t xml:space="preserve">Critical Care Nurse (ICU / RRT / PICU)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777777"/>
          <w:sz w:val="21"/>
          <w:szCs w:val="21"/>
        </w:rPr>
        <w:t xml:space="preserve">Security Forces Hospital  ·  Riyadh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Managed critically ill patients in high-risk clinical environments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Developed strong risk assessment, escalation, and crisis management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Strengthened patient safety and incident response competencies</w:t>
      </w:r>
    </w:p>
    <w:p>
      <w:pPr>
        <w:spacing w:after="100"/>
      </w:pPr>
    </w:p>
    <w:p>
      <w:pPr>
        <w:pBdr>
          <w:bottom w:val="single" w:color="9E7B4F" w:sz="6" w:space="6"/>
        </w:pBdr>
        <w:spacing w:after="160" w:before="360"/>
      </w:pPr>
      <w:r>
        <w:rPr>
          <w:rFonts w:ascii="Trebuchet MS" w:cs="Trebuchet MS" w:eastAsia="Trebuchet MS" w:hAnsi="Trebuchet MS"/>
          <w:b/>
          <w:bCs/>
          <w:color w:val="1A1A2E"/>
          <w:spacing w:val="120"/>
          <w:sz w:val="22"/>
          <w:szCs w:val="22"/>
        </w:rPr>
        <w:t xml:space="preserve">AUDIT &amp; ANALYTICS PROJECTS</w:t>
      </w:r>
    </w:p>
    <w:p>
      <w:pPr>
        <w:spacing w:after="40"/>
      </w:pPr>
      <w:r>
        <w:rPr>
          <w:rFonts w:ascii="Trebuchet MS" w:cs="Trebuchet MS" w:eastAsia="Trebuchet MS" w:hAnsi="Trebuchet MS"/>
          <w:b/>
          <w:bCs/>
          <w:color w:val="1A1A2E"/>
          <w:sz w:val="22"/>
          <w:szCs w:val="22"/>
        </w:rPr>
        <w:t xml:space="preserve">Nurse Audit &amp; Compliance System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Developed a digital audit framework for monitoring compliance, documentation quality, staff readiness, and corrective action tracking.</w:t>
      </w:r>
    </w:p>
    <w:p>
      <w:pPr>
        <w:spacing w:after="60"/>
      </w:pPr>
    </w:p>
    <w:p>
      <w:pPr>
        <w:spacing w:after="40"/>
      </w:pPr>
      <w:r>
        <w:rPr>
          <w:rFonts w:ascii="Trebuchet MS" w:cs="Trebuchet MS" w:eastAsia="Trebuchet MS" w:hAnsi="Trebuchet MS"/>
          <w:b/>
          <w:bCs/>
          <w:color w:val="1A1A2E"/>
          <w:sz w:val="22"/>
          <w:szCs w:val="22"/>
        </w:rPr>
        <w:t xml:space="preserve">Operational KPI Dashboard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multi-service dashboards tracking cancellation trends, no-show trends, workload distribution, performance metrics, and operational risk indicators.</w:t>
      </w:r>
    </w:p>
    <w:p>
      <w:pPr>
        <w:spacing w:after="60"/>
      </w:pPr>
    </w:p>
    <w:p>
      <w:pPr>
        <w:spacing w:after="40"/>
      </w:pPr>
      <w:r>
        <w:rPr>
          <w:rFonts w:ascii="Trebuchet MS" w:cs="Trebuchet MS" w:eastAsia="Trebuchet MS" w:hAnsi="Trebuchet MS"/>
          <w:b/>
          <w:bCs/>
          <w:color w:val="1A1A2E"/>
          <w:sz w:val="22"/>
          <w:szCs w:val="22"/>
        </w:rPr>
        <w:t xml:space="preserve">HomeCare Pro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Developed an internal nurse management platform featuring readiness checklists, compliance tracking, performance analytics, and leadership reporting.</w:t>
      </w:r>
    </w:p>
    <w:p>
      <w:pPr>
        <w:spacing w:after="60"/>
      </w:pPr>
    </w:p>
    <w:p>
      <w:pPr>
        <w:spacing w:after="40"/>
      </w:pPr>
      <w:r>
        <w:rPr>
          <w:rFonts w:ascii="Trebuchet MS" w:cs="Trebuchet MS" w:eastAsia="Trebuchet MS" w:hAnsi="Trebuchet MS"/>
          <w:b/>
          <w:bCs/>
          <w:color w:val="1A1A2E"/>
          <w:sz w:val="22"/>
          <w:szCs w:val="22"/>
        </w:rPr>
        <w:t xml:space="preserve">Learning Hub LMS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a learning management platform with training compliance tracking, analytics, certificates, and engagement monitoring.</w:t>
      </w:r>
    </w:p>
    <w:p>
      <w:pPr>
        <w:spacing w:after="100"/>
      </w:pPr>
    </w:p>
    <w:p>
      <w:pPr>
        <w:pBdr>
          <w:bottom w:val="single" w:color="9E7B4F" w:sz="6" w:space="6"/>
        </w:pBdr>
        <w:spacing w:after="160" w:before="360"/>
      </w:pPr>
      <w:r>
        <w:rPr>
          <w:rFonts w:ascii="Trebuchet MS" w:cs="Trebuchet MS" w:eastAsia="Trebuchet MS" w:hAnsi="Trebuchet MS"/>
          <w:b/>
          <w:bCs/>
          <w:color w:val="1A1A2E"/>
          <w:spacing w:val="120"/>
          <w:sz w:val="22"/>
          <w:szCs w:val="22"/>
        </w:rPr>
        <w:t xml:space="preserve">TECHNICAL SKILLS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3E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Excel — Advanced</w:t>
            </w:r>
          </w:p>
        </w:tc>
        <w:tc>
          <w:tcPr>
            <w:tcW w:type="pct" w:w="33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3E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Chart.js — Advanced</w:t>
            </w:r>
          </w:p>
        </w:tc>
        <w:tc>
          <w:tcPr>
            <w:tcW w:type="pct" w:w="33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3E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HTML / CSS — Advanced</w:t>
            </w:r>
          </w:p>
        </w:tc>
      </w:tr>
      <w:tr>
        <w:tc>
          <w:tcPr>
            <w:tcW w:type="pct" w:w="33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3E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Supabase — Advanced</w:t>
            </w:r>
          </w:p>
        </w:tc>
        <w:tc>
          <w:tcPr>
            <w:tcW w:type="pct" w:w="33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3E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MS Office 365 — Advanced</w:t>
            </w:r>
          </w:p>
        </w:tc>
        <w:tc>
          <w:tcPr>
            <w:tcW w:type="pct" w:w="33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3E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Google Sheets API — Advanced</w:t>
            </w:r>
          </w:p>
        </w:tc>
      </w:tr>
      <w:tr>
        <w:tc>
          <w:tcPr>
            <w:tcW w:type="pct" w:w="33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3E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Python — Basic</w:t>
            </w:r>
          </w:p>
        </w:tc>
        <w:tc>
          <w:tcPr>
            <w:tcW w:type="pct" w:w="33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3E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SQL — Learning</w:t>
            </w:r>
          </w:p>
        </w:tc>
        <w:tc>
          <w:tcPr>
            <w:tcW w:type="pct" w:w="33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3E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Canva Pro — Advanced</w:t>
            </w:r>
          </w:p>
        </w:tc>
      </w:tr>
    </w:tbl>
    <w:p>
      <w:pPr>
        <w:spacing w:after="100"/>
      </w:pPr>
    </w:p>
    <w:p>
      <w:pPr>
        <w:pBdr>
          <w:bottom w:val="single" w:color="9E7B4F" w:sz="6" w:space="6"/>
        </w:pBdr>
        <w:spacing w:after="160" w:before="360"/>
      </w:pPr>
      <w:r>
        <w:rPr>
          <w:rFonts w:ascii="Trebuchet MS" w:cs="Trebuchet MS" w:eastAsia="Trebuchet MS" w:hAnsi="Trebuchet MS"/>
          <w:b/>
          <w:bCs/>
          <w:color w:val="1A1A2E"/>
          <w:spacing w:val="120"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Trebuchet MS" w:cs="Trebuchet MS" w:eastAsia="Trebuchet MS" w:hAnsi="Trebuchet MS"/>
          <w:b/>
          <w:bCs/>
          <w:color w:val="1A1A2E"/>
          <w:sz w:val="22"/>
          <w:szCs w:val="22"/>
        </w:rPr>
        <w:t xml:space="preserve">Bachelor of Science in Nursing (BSN)</w:t>
      </w:r>
    </w:p>
    <w:p>
      <w:pPr>
        <w:spacing w:after="20"/>
      </w:pPr>
      <w:r>
        <w:rPr>
          <w:rFonts w:ascii="Calibri" w:cs="Calibri" w:eastAsia="Calibri" w:hAnsi="Calibri"/>
          <w:color w:val="2E8B82"/>
          <w:sz w:val="21"/>
          <w:szCs w:val="21"/>
        </w:rPr>
        <w:t xml:space="preserve">Princess Nourah Bint Abdulrahman University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GPA: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4.4 / 5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/>
      </w:r>
    </w:p>
    <w:p>
      <w:pPr>
        <w:spacing w:after="80"/>
      </w:pPr>
    </w:p>
    <w:p>
      <w:pPr>
        <w:spacing w:after="40"/>
      </w:pPr>
      <w:r>
        <w:rPr>
          <w:rFonts w:ascii="Trebuchet MS" w:cs="Trebuchet MS" w:eastAsia="Trebuchet MS" w:hAnsi="Trebuchet MS"/>
          <w:b/>
          <w:bCs/>
          <w:color w:val="1A1A2E"/>
          <w:sz w:val="22"/>
          <w:szCs w:val="22"/>
        </w:rPr>
        <w:t xml:space="preserve">Higher Diploma in Artificial Intelligence</w:t>
      </w:r>
    </w:p>
    <w:p>
      <w:pPr>
        <w:spacing w:after="20"/>
      </w:pPr>
      <w:r>
        <w:rPr>
          <w:rFonts w:ascii="Calibri" w:cs="Calibri" w:eastAsia="Calibri" w:hAnsi="Calibri"/>
          <w:color w:val="2E8B82"/>
          <w:sz w:val="21"/>
          <w:szCs w:val="21"/>
        </w:rPr>
        <w:t xml:space="preserve">2025 — 2026  (In Progress)</w:t>
      </w:r>
    </w:p>
    <w:p>
      <w:pPr>
        <w:spacing w:after="100"/>
      </w:pPr>
    </w:p>
    <w:p>
      <w:pPr>
        <w:pBdr>
          <w:bottom w:val="single" w:color="9E7B4F" w:sz="6" w:space="6"/>
        </w:pBdr>
        <w:spacing w:after="160" w:before="360"/>
      </w:pPr>
      <w:r>
        <w:rPr>
          <w:rFonts w:ascii="Trebuchet MS" w:cs="Trebuchet MS" w:eastAsia="Trebuchet MS" w:hAnsi="Trebuchet MS"/>
          <w:b/>
          <w:bCs/>
          <w:color w:val="1A1A2E"/>
          <w:spacing w:val="120"/>
          <w:sz w:val="22"/>
          <w:szCs w:val="22"/>
        </w:rPr>
        <w:t xml:space="preserve">CERTIFICATIONS</w:t>
      </w:r>
    </w:p>
    <w:p>
      <w:pPr>
        <w:spacing w:after="60"/>
      </w:pPr>
      <w:r>
        <w:rPr>
          <w:rFonts w:ascii="Calibri" w:cs="Calibri" w:eastAsia="Calibri" w:hAnsi="Calibri"/>
          <w:color w:val="2E8B82"/>
          <w:sz w:val="18"/>
          <w:szCs w:val="18"/>
        </w:rPr>
        <w:t xml:space="preserve">  ● 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IIWCC — University of Toronto Wound Care</w:t>
      </w:r>
    </w:p>
    <w:p>
      <w:pPr>
        <w:spacing w:after="60"/>
      </w:pPr>
      <w:r>
        <w:rPr>
          <w:rFonts w:ascii="Calibri" w:cs="Calibri" w:eastAsia="Calibri" w:hAnsi="Calibri"/>
          <w:color w:val="2E8B82"/>
          <w:sz w:val="18"/>
          <w:szCs w:val="18"/>
        </w:rPr>
        <w:t xml:space="preserve">  ● 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Healthcare Risk Management</w:t>
      </w:r>
    </w:p>
    <w:p>
      <w:pPr>
        <w:spacing w:after="60"/>
      </w:pPr>
      <w:r>
        <w:rPr>
          <w:rFonts w:ascii="Calibri" w:cs="Calibri" w:eastAsia="Calibri" w:hAnsi="Calibri"/>
          <w:color w:val="2E8B82"/>
          <w:sz w:val="18"/>
          <w:szCs w:val="18"/>
        </w:rPr>
        <w:t xml:space="preserve">  ● 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Change Management</w:t>
      </w:r>
    </w:p>
    <w:p>
      <w:pPr>
        <w:spacing w:after="60"/>
      </w:pPr>
      <w:r>
        <w:rPr>
          <w:rFonts w:ascii="Calibri" w:cs="Calibri" w:eastAsia="Calibri" w:hAnsi="Calibri"/>
          <w:color w:val="2E8B82"/>
          <w:sz w:val="18"/>
          <w:szCs w:val="18"/>
        </w:rPr>
        <w:t xml:space="preserve">  ● 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PMP Preparation Course</w:t>
      </w:r>
    </w:p>
    <w:p>
      <w:pPr>
        <w:spacing w:after="60"/>
      </w:pPr>
      <w:r>
        <w:rPr>
          <w:rFonts w:ascii="Calibri" w:cs="Calibri" w:eastAsia="Calibri" w:hAnsi="Calibri"/>
          <w:color w:val="2E8B82"/>
          <w:sz w:val="18"/>
          <w:szCs w:val="18"/>
        </w:rPr>
        <w:t xml:space="preserve">  ● 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Nursing Leadership Diploma</w:t>
      </w:r>
    </w:p>
    <w:p>
      <w:pPr>
        <w:spacing w:after="60"/>
      </w:pPr>
      <w:r>
        <w:rPr>
          <w:rFonts w:ascii="Calibri" w:cs="Calibri" w:eastAsia="Calibri" w:hAnsi="Calibri"/>
          <w:color w:val="2E8B82"/>
          <w:sz w:val="18"/>
          <w:szCs w:val="18"/>
        </w:rPr>
        <w:t xml:space="preserve">  ● 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BLS  /  ACLS  /  PALS</w:t>
      </w:r>
    </w:p>
    <w:p>
      <w:pPr>
        <w:spacing w:after="100"/>
      </w:pPr>
    </w:p>
    <w:p>
      <w:pPr>
        <w:pBdr>
          <w:bottom w:val="single" w:color="9E7B4F" w:sz="6" w:space="6"/>
        </w:pBdr>
        <w:spacing w:after="160" w:before="360"/>
      </w:pPr>
      <w:r>
        <w:rPr>
          <w:rFonts w:ascii="Trebuchet MS" w:cs="Trebuchet MS" w:eastAsia="Trebuchet MS" w:hAnsi="Trebuchet MS"/>
          <w:b/>
          <w:bCs/>
          <w:color w:val="1A1A2E"/>
          <w:spacing w:val="120"/>
          <w:sz w:val="22"/>
          <w:szCs w:val="22"/>
        </w:rPr>
        <w:t xml:space="preserve">LANGUAGES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3E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2"/>
                <w:szCs w:val="22"/>
              </w:rPr>
              <w:t xml:space="preserve">Arabic</w:t>
            </w:r>
          </w:p>
          <w:p>
            <w:r>
              <w:rPr>
                <w:rFonts w:ascii="Calibri" w:cs="Calibri" w:eastAsia="Calibri" w:hAnsi="Calibri"/>
                <w:color w:val="777777"/>
                <w:sz w:val="19"/>
                <w:szCs w:val="19"/>
              </w:rPr>
              <w:t xml:space="preserve">Native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3E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1A1A2E"/>
                <w:sz w:val="22"/>
                <w:szCs w:val="22"/>
              </w:rPr>
              <w:t xml:space="preserve">English</w:t>
            </w:r>
          </w:p>
          <w:p>
            <w:r>
              <w:rPr>
                <w:rFonts w:ascii="Calibri" w:cs="Calibri" w:eastAsia="Calibri" w:hAnsi="Calibri"/>
                <w:color w:val="777777"/>
                <w:sz w:val="19"/>
                <w:szCs w:val="19"/>
              </w:rPr>
              <w:t xml:space="preserve">Professional Working Proficiency</w:t>
            </w:r>
          </w:p>
        </w:tc>
      </w:tr>
    </w:tbl>
    <w:p>
      <w:pPr>
        <w:spacing w:after="200"/>
      </w:pPr>
    </w:p>
    <w:sectPr>
      <w:pgSz w:w="11906" w:h="16838" w:orient="portrait"/>
      <w:pgMar w:top="8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sz w:val="21"/>
      <w:szCs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2026-06-25T05:37:33.618Z</dcterms:created>
  <dcterms:modified xsi:type="dcterms:W3CDTF">2026-06-25T05:37:33.618Z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