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Horizon</w:t>
      </w:r>
    </w:p>
    <w:p>
      <w:pPr>
        <w:pStyle w:val="Title"/>
      </w:pPr>
      <w:r>
        <w:t>Документация системы</w:t>
      </w:r>
    </w:p>
    <w:p>
      <w:r>
        <w:t>Руководство пользователя, администратора и разработчика</w:t>
      </w:r>
    </w:p>
    <w:p>
      <w:r>
        <w:rPr>
          <w:b/>
        </w:rPr>
        <w:t>Версия продукта 0.4.65 • 29 сентября 2026 года</w:t>
      </w:r>
    </w:p>
    <w:p>
      <w:r>
        <w:t>Horizon помогает технологическому скауту находить кандидатов в слабые сигналы, изучать научные публикации и сопоставлять их с новостями, патентами и инвестиционными сообщениями. Результат предназначен для отбора тем для дальнейшей проверки, а не для автоматического инвестиционного решения.</w:t>
      </w:r>
    </w:p>
    <w:p>
      <w:r>
        <w:t xml:space="preserve">Документ описывает пользовательские действия, расчёт показателей, источники, устройство программы, установку и сопровождение. Он относится к переносимому комплекту Horizon 0.4.65. Техническое имя Python-пакета </w:t>
      </w:r>
      <w:r>
        <w:rPr>
          <w:rFonts w:ascii="Courier New" w:hAnsi="Courier New"/>
          <w:sz w:val="18"/>
        </w:rPr>
        <w:t>saia</w:t>
      </w:r>
      <w:r>
        <w:t xml:space="preserve"> и часть прежних идентификаторов сохранены для совместимости.</w:t>
      </w:r>
    </w:p>
    <w:p>
      <w:pPr>
        <w:pStyle w:val="Heading2"/>
      </w:pPr>
      <w:r>
        <w:t>Что важно знать до начала работы</w:t>
      </w:r>
    </w:p>
    <w:p>
      <w:pPr>
        <w:pStyle w:val="ListBullet"/>
      </w:pPr>
      <w:r>
        <w:t>Введите технологическое направление на русском языке. Система предложит доступных кандидатов и покажет не более 15 записей на странице.</w:t>
      </w:r>
    </w:p>
    <w:p>
      <w:pPr>
        <w:pStyle w:val="ListBullet"/>
      </w:pPr>
      <w:r>
        <w:t>Экспертиза является дополнительным действием. Её отсутствие не запрещает смотреть, сохранять и анализировать результаты.</w:t>
      </w:r>
    </w:p>
    <w:p>
      <w:pPr>
        <w:pStyle w:val="ListBullet"/>
      </w:pPr>
      <w:r>
        <w:t>Оценка от 0 до 100 является баллом ранжирования. Она не означает вероятность успеха технологии или точность прогноза.</w:t>
      </w:r>
    </w:p>
    <w:p>
      <w:pPr>
        <w:pStyle w:val="ListBullet"/>
      </w:pPr>
      <w:r>
        <w:t>«Рынок» в модели данных означает новостные публикации. Объём рынка, выручка и спрос таким способом не измеряются.</w:t>
      </w:r>
    </w:p>
    <w:p>
      <w:pPr>
        <w:pStyle w:val="ListBullet"/>
      </w:pPr>
      <w:r>
        <w:t>Публичные подборки отмечаются отдельно. Упоминание в чужом отчёте не заменяет расчёт Horizon.</w:t>
      </w:r>
    </w:p>
    <w:p>
      <w:pPr>
        <w:pStyle w:val="ListBullet"/>
      </w:pPr>
      <w:r>
        <w:t>Продукт остаётся исследовательским прототипом. Полноценная многопользовательская защита и доказанная точность детектора ещё не обеспечены.</w:t>
      </w:r>
    </w:p>
    <w:p>
      <w:pPr>
        <w:pStyle w:val="Heading2"/>
      </w:pPr>
      <w:r>
        <w:t>Какую установку описывает документ</w:t>
      </w:r>
    </w:p>
    <w:p>
      <w:r>
        <w:t>Новый комплект по умолчанию открывается на http://127.0.0.1:8085/scout и создаёт отдельную пустую базу. Существующие поиски, настройки и экспертные материалы автоматически не переносятся. Репозиторий содержит код и справочники, но не рабочие данные.</w:t>
      </w:r>
    </w:p>
    <w:p>
      <w:r>
        <w:t>Установка приложения, загрузка моделей и подготовка корпуса выполняются отдельно от пользовательского поиска. Требование результата за 20 минут остаётся целевым требованием продукта. Текущая реализация ограничивает один период ожидания в браузере, но пока не гарантирует завершение любого анализа за это время.</w:t>
      </w:r>
    </w:p>
    <w:p>
      <w:pPr>
        <w:pStyle w:val="Heading1"/>
        <w:pageBreakBefore/>
      </w:pPr>
      <w:r>
        <w:t>Как пользоваться документацией</w:t>
      </w:r>
      <w:bookmarkStart w:id="1" w:name="s1"/>
      <w:bookmarkEnd w:id="1"/>
    </w:p>
    <w:p>
      <w:r>
        <w:t>Скауту достаточно начать с разделов 1–10. Администратору нужны разделы 13–17. Разработчику следует дополнительно изучить методику, модель данных и границы проверенности в разделах 11–12 и 18–21.</w:t>
      </w:r>
    </w:p>
    <w:p>
      <w:pPr>
        <w:pStyle w:val="Heading2"/>
      </w:pPr>
      <w:r>
        <w:t>Содержание</w:t>
      </w:r>
    </w:p>
    <w:p>
      <w:hyperlink w:anchor="s2">
        <w:r>
          <w:rPr>
            <w:color w:val="2456A0"/>
          </w:rPr>
          <w:t>1 Поиск и получение кандидатов</w:t>
        </w:r>
      </w:hyperlink>
    </w:p>
    <w:p>
      <w:hyperlink w:anchor="s3">
        <w:r>
          <w:rPr>
            <w:color w:val="2456A0"/>
          </w:rPr>
          <w:t>2 Список результатов и карточка</w:t>
        </w:r>
      </w:hyperlink>
    </w:p>
    <w:p>
      <w:hyperlink w:anchor="s4">
        <w:r>
          <w:rPr>
            <w:color w:val="2456A0"/>
          </w:rPr>
          <w:t>3 Научные показатели и рабочий балл</w:t>
        </w:r>
      </w:hyperlink>
    </w:p>
    <w:p>
      <w:hyperlink w:anchor="s5">
        <w:r>
          <w:rPr>
            <w:color w:val="2456A0"/>
          </w:rPr>
          <w:t>4 Учёт новостей патентов и инвестиций</w:t>
        </w:r>
      </w:hyperlink>
    </w:p>
    <w:p>
      <w:hyperlink w:anchor="s6">
        <w:r>
          <w:rPr>
            <w:color w:val="2456A0"/>
          </w:rPr>
          <w:t>5 Диаграммы и динамика</w:t>
        </w:r>
      </w:hyperlink>
    </w:p>
    <w:p>
      <w:hyperlink w:anchor="s7">
        <w:r>
          <w:rPr>
            <w:color w:val="2456A0"/>
          </w:rPr>
          <w:t>6 Научные источники и покрытие</w:t>
        </w:r>
      </w:hyperlink>
    </w:p>
    <w:p>
      <w:hyperlink w:anchor="s8">
        <w:r>
          <w:rPr>
            <w:color w:val="2456A0"/>
          </w:rPr>
          <w:t>7 Дополнительные источники</w:t>
        </w:r>
      </w:hyperlink>
    </w:p>
    <w:p>
      <w:hyperlink w:anchor="s9">
        <w:r>
          <w:rPr>
            <w:color w:val="2456A0"/>
          </w:rPr>
          <w:t>8 Публичные подборки</w:t>
        </w:r>
      </w:hyperlink>
    </w:p>
    <w:p>
      <w:hyperlink w:anchor="s10">
        <w:r>
          <w:rPr>
            <w:color w:val="2456A0"/>
          </w:rPr>
          <w:t>9 Экспертиза</w:t>
        </w:r>
      </w:hyperlink>
    </w:p>
    <w:p>
      <w:hyperlink w:anchor="s11">
        <w:r>
          <w:rPr>
            <w:color w:val="2456A0"/>
          </w:rPr>
          <w:t>10 Радар PESTLE модели и выгрузка</w:t>
        </w:r>
      </w:hyperlink>
    </w:p>
    <w:p>
      <w:hyperlink w:anchor="s12">
        <w:r>
          <w:rPr>
            <w:color w:val="2456A0"/>
          </w:rPr>
          <w:t>11 Последовательность анализа данных</w:t>
        </w:r>
      </w:hyperlink>
    </w:p>
    <w:p>
      <w:hyperlink w:anchor="s13">
        <w:r>
          <w:rPr>
            <w:color w:val="2456A0"/>
          </w:rPr>
          <w:t>12 Архитектура и сохранение результатов</w:t>
        </w:r>
      </w:hyperlink>
    </w:p>
    <w:p>
      <w:hyperlink w:anchor="s14">
        <w:r>
          <w:rPr>
            <w:color w:val="2456A0"/>
          </w:rPr>
          <w:t>13 Установка переносимого комплекта</w:t>
        </w:r>
      </w:hyperlink>
    </w:p>
    <w:p>
      <w:hyperlink w:anchor="s15">
        <w:r>
          <w:rPr>
            <w:color w:val="2456A0"/>
          </w:rPr>
          <w:t>14 Настройка источников и моделей</w:t>
        </w:r>
      </w:hyperlink>
    </w:p>
    <w:p>
      <w:hyperlink w:anchor="s16">
        <w:r>
          <w:rPr>
            <w:color w:val="2456A0"/>
          </w:rPr>
          <w:t>15 Эксплуатация и сохранность данных</w:t>
        </w:r>
      </w:hyperlink>
    </w:p>
    <w:p>
      <w:hyperlink w:anchor="s17">
        <w:r>
          <w:rPr>
            <w:color w:val="2456A0"/>
          </w:rPr>
          <w:t>16 Безопасность и внешний доступ</w:t>
        </w:r>
      </w:hyperlink>
    </w:p>
    <w:p>
      <w:hyperlink w:anchor="s18">
        <w:r>
          <w:rPr>
            <w:color w:val="2456A0"/>
          </w:rPr>
          <w:t>17 Решение типичных проблем</w:t>
        </w:r>
      </w:hyperlink>
    </w:p>
    <w:p>
      <w:hyperlink w:anchor="s19">
        <w:r>
          <w:rPr>
            <w:color w:val="2456A0"/>
          </w:rPr>
          <w:t>18 Проверки и критерии приёмки</w:t>
        </w:r>
      </w:hyperlink>
    </w:p>
    <w:p>
      <w:hyperlink w:anchor="s20">
        <w:r>
          <w:rPr>
            <w:color w:val="2456A0"/>
          </w:rPr>
          <w:t>19 Ограничения и дальнейшая разработка</w:t>
        </w:r>
      </w:hyperlink>
    </w:p>
    <w:p>
      <w:hyperlink w:anchor="s21">
        <w:r>
          <w:rPr>
            <w:color w:val="2456A0"/>
          </w:rPr>
          <w:t>20 Справочник разработчика и первоисточники</w:t>
        </w:r>
      </w:hyperlink>
    </w:p>
    <w:p>
      <w:hyperlink w:anchor="s22">
        <w:r>
          <w:rPr>
            <w:color w:val="2456A0"/>
          </w:rPr>
          <w:t>21 Основные маршруты API</w:t>
        </w:r>
      </w:hyperlink>
    </w:p>
    <w:p>
      <w:r>
        <w:t xml:space="preserve">В интерфейсе также доступна встроенная «Справка» с 16 статьями. Ссылки возле функций открывают нужную статью поверх страницы. Закрытие справки возвращает к прежнему запросу и карточке. Отдельный адрес справки: </w:t>
      </w:r>
      <w:r>
        <w:rPr>
          <w:rFonts w:ascii="Courier New" w:hAnsi="Courier New"/>
          <w:sz w:val="18"/>
        </w:rPr>
        <w:t>/help</w:t>
      </w:r>
      <w:r>
        <w:t>. Она работает без научного корпуса, модели и подключения к базе.</w:t>
      </w:r>
    </w:p>
    <w:p>
      <w:pPr>
        <w:pStyle w:val="Heading1"/>
        <w:pageBreakBefore/>
      </w:pPr>
      <w:r>
        <w:t>1 Поиск и получение кандидатов</w:t>
      </w:r>
      <w:bookmarkStart w:id="2" w:name="s2"/>
      <w:bookmarkEnd w:id="2"/>
    </w:p>
    <w:p>
      <w:pPr>
        <w:pStyle w:val="Heading2"/>
      </w:pPr>
      <w:r>
        <w:t>Перед первым запросом</w:t>
      </w:r>
    </w:p>
    <w:p>
      <w:r>
        <w:t>Откройте раздел «Слабые сигналы». Работайте в браузере на компьютере. У администратора должны быть запущены приложение, фоновый обработчик и PostgreSQL. Если используется новая установка, ранее выполненных исследований в ней не будет.</w:t>
      </w:r>
    </w:p>
    <w:p>
      <w:pPr>
        <w:pStyle w:val="Heading2"/>
      </w:pPr>
      <w:r>
        <w:t>Порядок действий</w:t>
      </w:r>
    </w:p>
    <w:p>
      <w:r>
        <w:rPr>
          <w:b/>
        </w:rPr>
        <w:t>Шаг 1. Введите направление.</w:t>
      </w:r>
      <w:r>
        <w:t xml:space="preserve"> Допускается свободная формулировка от 2 до 160 символов. Например, «беспилотные авиационные системы» или «навигация беспилотников без спутникового сигнала». Название технологии и область применения обычно полезнее общего слова «инновации».</w:t>
      </w:r>
    </w:p>
    <w:p>
      <w:r>
        <w:rPr>
          <w:b/>
        </w:rPr>
        <w:t>Шаг 2. Нажмите «Найти сигналы».</w:t>
      </w:r>
      <w:r>
        <w:t xml:space="preserve"> Horizon подготавливает поисковые ветви, получает публикации и запускает анализ. Текущий пользовательский путь рассматривает пятилетний период до начала текущего месяца. Неполный текущий месяц не используется как завершённый период для вывода о росте.</w:t>
      </w:r>
    </w:p>
    <w:p>
      <w:r>
        <w:rPr>
          <w:b/>
        </w:rPr>
        <w:t>Шаг 3. При необходимости уточните область.</w:t>
      </w:r>
      <w:r>
        <w:t xml:space="preserve"> В блоке «Уточнить темы поиска» можно изменить набор выбранных направлений с помощью флажков и повторить поиск. Если подходящих уточнений нет, используйте поле «Указать английскую научную формулировку». Принятый английский термин полезен, когда русский запрос плохо сопоставляется с научными названиями.</w:t>
      </w:r>
    </w:p>
    <w:p>
      <w:r>
        <w:rPr>
          <w:b/>
        </w:rPr>
        <w:t>Шаг 4. Дождитесь обработки.</w:t>
      </w:r>
      <w:r>
        <w:t xml:space="preserve"> Браузер запрашивает состояние фонового задания. После 20 минут интерфейс позволяет продолжить ожидание. Сохранённая задача не должна заменяться новой только из-за истечения этого периода. Держите вкладку открытой, чтобы сохранить данные продолжения в сессии браузера.</w:t>
      </w:r>
    </w:p>
    <w:p>
      <w:r>
        <w:rPr>
          <w:b/>
        </w:rPr>
        <w:t>Шаг 5. Проверьте выдачу.</w:t>
      </w:r>
      <w:r>
        <w:t xml:space="preserve"> Начните с происхождения записи, состояния и обоснования. Если публикации найдены, а темы не сформированы, откройте блок публикаций и оцените соответствие запросу. Не все подборки текстов образуют самостоятельную исследовательскую линию.</w:t>
      </w:r>
    </w:p>
    <w:p>
      <w:pPr>
        <w:pStyle w:val="Heading2"/>
      </w:pPr>
      <w:r>
        <w:t>Как выбирать масштаб запроса</w:t>
      </w:r>
    </w:p>
    <w:p>
      <w:r>
        <w:t>Широкое направление помогает первичному обзору, но чаще объединяет разные технологии. Более узкий запрос облегчает проверку связности темы. Сравнивая два запроса, учитывайте, что меняются корпус, число тем и относительные показатели. Их баллы нельзя безусловно сопоставлять как единую мировую шкалу.</w:t>
      </w:r>
    </w:p>
    <w:p>
      <w:r>
        <w:t>Заранее подготовленные технологические словари помогают поиску, но не ограничивают интерфейс перечнем проектов технологического лидерства. Выбор направления из универсального классификатора остаётся отдельной задачей развития.</w:t>
      </w:r>
    </w:p>
    <w:p>
      <w:r>
        <w:rPr>
          <w:b/>
        </w:rPr>
        <w:t>Правило интерпретации.</w:t>
      </w:r>
      <w:r>
        <w:t xml:space="preserve"> Система выдаёт имеющихся кандидатов без обязательной экспертизы. Она не должна придумывать недостающие записи до числа 15. Пустая выдача может означать проблему формулировки, доступа или обработки, а не отсутствие технологии.</w:t>
      </w:r>
    </w:p>
    <w:p>
      <w:pPr>
        <w:pStyle w:val="Heading1"/>
        <w:pageBreakBefore/>
      </w:pPr>
      <w:r>
        <w:t>2 Список результатов и карточка</w:t>
      </w:r>
      <w:bookmarkStart w:id="3" w:name="s3"/>
      <w:bookmarkEnd w:id="3"/>
    </w:p>
    <w:p>
      <w:r>
        <w:t>На странице показывается до 15 записей. При наличии следующих записей используйте переход между страницами. Происхождение позволяет отличить научного кандидата Horizon от записи из публичной подборки. Название открывает карточку справа.</w:t>
      </w:r>
    </w:p>
    <w:p>
      <w:pPr>
        <w:pStyle w:val="Heading2"/>
      </w:pPr>
      <w:r>
        <w:t>Как читать состояние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Состояние</w:t>
            </w:r>
          </w:p>
        </w:tc>
        <w:tc>
          <w:tcPr>
            <w:tcW w:type="dxa" w:w="3067"/>
            <w:tcMar>
              <w:top w:w="75" w:type="dxa"/>
              <w:left w:w="75" w:type="dxa"/>
              <w:bottom w:w="75" w:type="dxa"/>
              <w:right w:w="75" w:type="dxa"/>
            </w:tcMar>
            <w:shd w:fill="EEF1F5"/>
          </w:tcPr>
          <w:p>
            <w:pPr>
              <w:spacing w:after="0" w:line="245" w:lineRule="auto"/>
            </w:pPr>
            <w:r>
              <w:rPr>
                <w:b/>
                <w:sz w:val="19"/>
              </w:rPr>
              <w:t>Что установлено</w:t>
            </w:r>
          </w:p>
        </w:tc>
        <w:tc>
          <w:tcPr>
            <w:tcW w:type="dxa" w:w="4536"/>
            <w:tcMar>
              <w:top w:w="75" w:type="dxa"/>
              <w:left w:w="75" w:type="dxa"/>
              <w:bottom w:w="75" w:type="dxa"/>
              <w:right w:w="75" w:type="dxa"/>
            </w:tcMar>
            <w:shd w:fill="EEF1F5"/>
          </w:tcPr>
          <w:p>
            <w:pPr>
              <w:spacing w:after="0" w:line="245" w:lineRule="auto"/>
            </w:pPr>
            <w:r>
              <w:rPr>
                <w:b/>
                <w:sz w:val="19"/>
              </w:rPr>
              <w:t>Следующее действие</w:t>
            </w:r>
          </w:p>
        </w:tc>
      </w:tr>
      <w:tr>
        <w:trPr>
          <w:cantSplit/>
        </w:trPr>
        <w:tc>
          <w:tcPr>
            <w:tcW w:type="dxa" w:w="2333"/>
            <w:tcMar>
              <w:top w:w="75" w:type="dxa"/>
              <w:left w:w="75" w:type="dxa"/>
              <w:bottom w:w="75" w:type="dxa"/>
              <w:right w:w="75" w:type="dxa"/>
            </w:tcMar>
          </w:tcPr>
          <w:p>
            <w:pPr>
              <w:spacing w:after="0" w:line="245" w:lineRule="auto"/>
            </w:pPr>
            <w:r>
              <w:rPr>
                <w:sz w:val="19"/>
              </w:rPr>
              <w:t>Есть признаки роста</w:t>
            </w:r>
          </w:p>
        </w:tc>
        <w:tc>
          <w:tcPr>
            <w:tcW w:type="dxa" w:w="3067"/>
            <w:tcMar>
              <w:top w:w="75" w:type="dxa"/>
              <w:left w:w="75" w:type="dxa"/>
              <w:bottom w:w="75" w:type="dxa"/>
              <w:right w:w="75" w:type="dxa"/>
            </w:tcMar>
          </w:tcPr>
          <w:p>
            <w:pPr>
              <w:spacing w:after="0" w:line="245" w:lineRule="auto"/>
            </w:pPr>
            <w:r>
              <w:rPr>
                <w:sz w:val="19"/>
              </w:rPr>
              <w:t>Доля растёт в сопоставимых периодах. Известные обязательные проверки не опровергли тему</w:t>
            </w:r>
          </w:p>
        </w:tc>
        <w:tc>
          <w:tcPr>
            <w:tcW w:type="dxa" w:w="4536"/>
            <w:tcMar>
              <w:top w:w="75" w:type="dxa"/>
              <w:left w:w="75" w:type="dxa"/>
              <w:bottom w:w="75" w:type="dxa"/>
              <w:right w:w="75" w:type="dxa"/>
            </w:tcMar>
          </w:tcPr>
          <w:p>
            <w:pPr>
              <w:spacing w:after="0" w:line="245" w:lineRule="auto"/>
            </w:pPr>
            <w:r>
              <w:rPr>
                <w:sz w:val="19"/>
              </w:rPr>
              <w:t>Изучить первичные работы и независимость результатов</w:t>
            </w:r>
          </w:p>
        </w:tc>
      </w:tr>
      <w:tr>
        <w:trPr>
          <w:cantSplit/>
        </w:trPr>
        <w:tc>
          <w:tcPr>
            <w:tcW w:type="dxa" w:w="2333"/>
            <w:tcMar>
              <w:top w:w="75" w:type="dxa"/>
              <w:left w:w="75" w:type="dxa"/>
              <w:bottom w:w="75" w:type="dxa"/>
              <w:right w:w="75" w:type="dxa"/>
            </w:tcMar>
          </w:tcPr>
          <w:p>
            <w:pPr>
              <w:spacing w:after="0" w:line="245" w:lineRule="auto"/>
            </w:pPr>
            <w:r>
              <w:rPr>
                <w:sz w:val="19"/>
              </w:rPr>
              <w:t>Данных недостаточно</w:t>
            </w:r>
          </w:p>
        </w:tc>
        <w:tc>
          <w:tcPr>
            <w:tcW w:type="dxa" w:w="3067"/>
            <w:tcMar>
              <w:top w:w="75" w:type="dxa"/>
              <w:left w:w="75" w:type="dxa"/>
              <w:bottom w:w="75" w:type="dxa"/>
              <w:right w:w="75" w:type="dxa"/>
            </w:tcMar>
          </w:tcPr>
          <w:p>
            <w:pPr>
              <w:spacing w:after="0" w:line="245" w:lineRule="auto"/>
            </w:pPr>
            <w:r>
              <w:rPr>
                <w:sz w:val="19"/>
              </w:rPr>
              <w:t>Не хватает сопоставимого ряда или оснований для содержательного вывода</w:t>
            </w:r>
          </w:p>
        </w:tc>
        <w:tc>
          <w:tcPr>
            <w:tcW w:type="dxa" w:w="4536"/>
            <w:tcMar>
              <w:top w:w="75" w:type="dxa"/>
              <w:left w:w="75" w:type="dxa"/>
              <w:bottom w:w="75" w:type="dxa"/>
              <w:right w:w="75" w:type="dxa"/>
            </w:tcMar>
          </w:tcPr>
          <w:p>
            <w:pPr>
              <w:spacing w:after="0" w:line="245" w:lineRule="auto"/>
            </w:pPr>
            <w:r>
              <w:rPr>
                <w:sz w:val="19"/>
              </w:rPr>
              <w:t>Проверить покрытие, уточнить тему или собрать материалы</w:t>
            </w:r>
          </w:p>
        </w:tc>
      </w:tr>
      <w:tr>
        <w:trPr>
          <w:cantSplit/>
        </w:trPr>
        <w:tc>
          <w:tcPr>
            <w:tcW w:type="dxa" w:w="2333"/>
            <w:tcMar>
              <w:top w:w="75" w:type="dxa"/>
              <w:left w:w="75" w:type="dxa"/>
              <w:bottom w:w="75" w:type="dxa"/>
              <w:right w:w="75" w:type="dxa"/>
            </w:tcMar>
          </w:tcPr>
          <w:p>
            <w:pPr>
              <w:spacing w:after="0" w:line="245" w:lineRule="auto"/>
            </w:pPr>
            <w:r>
              <w:rPr>
                <w:sz w:val="19"/>
              </w:rPr>
              <w:t>Есть противоречия</w:t>
            </w:r>
          </w:p>
        </w:tc>
        <w:tc>
          <w:tcPr>
            <w:tcW w:type="dxa" w:w="3067"/>
            <w:tcMar>
              <w:top w:w="75" w:type="dxa"/>
              <w:left w:w="75" w:type="dxa"/>
              <w:bottom w:w="75" w:type="dxa"/>
              <w:right w:w="75" w:type="dxa"/>
            </w:tcMar>
          </w:tcPr>
          <w:p>
            <w:pPr>
              <w:spacing w:after="0" w:line="245" w:lineRule="auto"/>
            </w:pPr>
            <w:r>
              <w:rPr>
                <w:sz w:val="19"/>
              </w:rPr>
              <w:t>Есть непройденные обязательные проверки</w:t>
            </w:r>
          </w:p>
        </w:tc>
        <w:tc>
          <w:tcPr>
            <w:tcW w:type="dxa" w:w="4536"/>
            <w:tcMar>
              <w:top w:w="75" w:type="dxa"/>
              <w:left w:w="75" w:type="dxa"/>
              <w:bottom w:w="75" w:type="dxa"/>
              <w:right w:w="75" w:type="dxa"/>
            </w:tcMar>
          </w:tcPr>
          <w:p>
            <w:pPr>
              <w:spacing w:after="0" w:line="245" w:lineRule="auto"/>
            </w:pPr>
            <w:r>
              <w:rPr>
                <w:sz w:val="19"/>
              </w:rPr>
              <w:t>Открыть причины, не подменять их высоким баллом</w:t>
            </w:r>
          </w:p>
        </w:tc>
      </w:tr>
      <w:tr>
        <w:trPr>
          <w:cantSplit/>
        </w:trPr>
        <w:tc>
          <w:tcPr>
            <w:tcW w:type="dxa" w:w="2333"/>
            <w:tcMar>
              <w:top w:w="75" w:type="dxa"/>
              <w:left w:w="75" w:type="dxa"/>
              <w:bottom w:w="75" w:type="dxa"/>
              <w:right w:w="75" w:type="dxa"/>
            </w:tcMar>
          </w:tcPr>
          <w:p>
            <w:pPr>
              <w:spacing w:after="0" w:line="245" w:lineRule="auto"/>
            </w:pPr>
            <w:r>
              <w:rPr>
                <w:sz w:val="19"/>
              </w:rPr>
              <w:t>Рост не подтверждён</w:t>
            </w:r>
          </w:p>
        </w:tc>
        <w:tc>
          <w:tcPr>
            <w:tcW w:type="dxa" w:w="3067"/>
            <w:tcMar>
              <w:top w:w="75" w:type="dxa"/>
              <w:left w:w="75" w:type="dxa"/>
              <w:bottom w:w="75" w:type="dxa"/>
              <w:right w:w="75" w:type="dxa"/>
            </w:tcMar>
          </w:tcPr>
          <w:p>
            <w:pPr>
              <w:spacing w:after="0" w:line="245" w:lineRule="auto"/>
            </w:pPr>
            <w:r>
              <w:rPr>
                <w:sz w:val="19"/>
              </w:rPr>
              <w:t>В последних сопоставимых периодах нет положительного устойчивого изменения доли</w:t>
            </w:r>
          </w:p>
        </w:tc>
        <w:tc>
          <w:tcPr>
            <w:tcW w:type="dxa" w:w="4536"/>
            <w:tcMar>
              <w:top w:w="75" w:type="dxa"/>
              <w:left w:w="75" w:type="dxa"/>
              <w:bottom w:w="75" w:type="dxa"/>
              <w:right w:w="75" w:type="dxa"/>
            </w:tcMar>
          </w:tcPr>
          <w:p>
            <w:pPr>
              <w:spacing w:after="0" w:line="245" w:lineRule="auto"/>
            </w:pPr>
            <w:r>
              <w:rPr>
                <w:sz w:val="19"/>
              </w:rPr>
              <w:t>Рассмотреть зрелость, затухание или ограниченность выбранного периода</w:t>
            </w:r>
          </w:p>
        </w:tc>
      </w:tr>
    </w:tbl>
    <w:p>
      <w:pPr>
        <w:spacing w:after="0" w:before="0" w:line="60" w:lineRule="exact"/>
      </w:pPr>
      <w:r>
        <w:rPr>
          <w:sz w:val="6"/>
        </w:rPr>
      </w:r>
    </w:p>
    <w:p>
      <w:r>
        <w:t>Список научных кандидатов сначала учитывает группу состояния, затем число непройденных проверок, многоканальный балл и устойчивый научный порядок. Приоритет групп: признаки роста, недостаточность данных, противоречия, отсутствие подтверждённого роста. Поэтому карточка с большим баллом не обязательно стоит выше любой другой.</w:t>
      </w:r>
    </w:p>
    <w:p>
      <w:pPr>
        <w:pStyle w:val="Heading2"/>
      </w:pPr>
      <w:r>
        <w:t>Порядок изучения карточки</w:t>
      </w:r>
    </w:p>
    <w:p>
      <w:r>
        <w:t>1. Прочитайте «Почему тема показана» и раскройте сведения о выполненных проверках и неизвестных данных.</w:t>
      </w:r>
    </w:p>
    <w:p>
      <w:r>
        <w:t>2. Изучите научную основу и фактические вклады внешних источников. Рядом с баллом проверьте полноту расчёта.</w:t>
      </w:r>
    </w:p>
    <w:p>
      <w:r>
        <w:t>3. Посмотрите динамику и даты. «Первая работа» является самой ранней среди найденных работ, а не датой изобретения технологии.</w:t>
      </w:r>
    </w:p>
    <w:p>
      <w:r>
        <w:t>4. Откройте исходные исследования. Раздел «Все публикации темы» загружает список частями по 20 работ.</w:t>
      </w:r>
    </w:p>
    <w:p>
      <w:r>
        <w:t>5. Проверьте дополнительные материалы, их даты и связь с конкретной темой. При необходимости обновите основания.</w:t>
      </w:r>
    </w:p>
    <w:p>
      <w:r>
        <w:t>6. Скачайте карточку, сохраните гипотезу PESTLE или передайте материалы на экспертизу.</w:t>
      </w:r>
    </w:p>
    <w:p>
      <w:r>
        <w:t>Флажок в заголовке выбирает видимые записи. Выбор может сохраняться при смене страницы. Перед групповой выгрузкой или экспертизой проверяйте общее число выбранных записей.</w:t>
      </w:r>
    </w:p>
    <w:p>
      <w:r>
        <w:t>У публичной записи без собственного научного расчёта балл и динамика остаются нерассчитанными. Такая запись не получает научные показатели только потому, что находится рядом с кандидатами Horizon.</w:t>
      </w:r>
    </w:p>
    <w:p>
      <w:pPr>
        <w:pStyle w:val="Heading1"/>
        <w:pageBreakBefore/>
      </w:pPr>
      <w:r>
        <w:t>3 Научные показатели и рабочий балл</w:t>
      </w:r>
      <w:bookmarkStart w:id="4" w:name="s4"/>
      <w:bookmarkEnd w:id="4"/>
    </w:p>
    <w:p>
      <w:r>
        <w:t>Научный компонент рабочего балла является суммой измеренных вкладов. Каждое нормированное значение ограничивается интервалом от 0 до 1. Формула предназначена для приоритизации проверки и пока не откалибрована как вероятность слабого сигнала.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512"/>
        <w:gridCol w:w="5760"/>
      </w:tblGrid>
      <w:tr>
        <w:trPr>
          <w:cantSplit/>
          <w:tblHeader/>
        </w:trPr>
        <w:tc>
          <w:tcPr>
            <w:tcW w:type="dxa" w:w="2664"/>
            <w:tcMar>
              <w:top w:w="75" w:type="dxa"/>
              <w:left w:w="75" w:type="dxa"/>
              <w:bottom w:w="75" w:type="dxa"/>
              <w:right w:w="75" w:type="dxa"/>
            </w:tcMar>
            <w:shd w:fill="EEF1F5"/>
          </w:tcPr>
          <w:p>
            <w:pPr>
              <w:spacing w:after="0" w:line="245" w:lineRule="auto"/>
            </w:pPr>
            <w:r>
              <w:rPr>
                <w:b/>
                <w:sz w:val="19"/>
              </w:rPr>
              <w:t>Признак</w:t>
            </w:r>
          </w:p>
        </w:tc>
        <w:tc>
          <w:tcPr>
            <w:tcW w:type="dxa" w:w="1512"/>
            <w:tcMar>
              <w:top w:w="75" w:type="dxa"/>
              <w:left w:w="75" w:type="dxa"/>
              <w:bottom w:w="75" w:type="dxa"/>
              <w:right w:w="75" w:type="dxa"/>
            </w:tcMar>
            <w:shd w:fill="EEF1F5"/>
          </w:tcPr>
          <w:p>
            <w:pPr>
              <w:spacing w:after="0" w:line="245" w:lineRule="auto"/>
            </w:pPr>
            <w:r>
              <w:rPr>
                <w:b/>
                <w:sz w:val="19"/>
              </w:rPr>
              <w:t>Максимум баллов</w:t>
            </w:r>
          </w:p>
        </w:tc>
        <w:tc>
          <w:tcPr>
            <w:tcW w:type="dxa" w:w="5760"/>
            <w:tcMar>
              <w:top w:w="75" w:type="dxa"/>
              <w:left w:w="75" w:type="dxa"/>
              <w:bottom w:w="75" w:type="dxa"/>
              <w:right w:w="75" w:type="dxa"/>
            </w:tcMar>
            <w:shd w:fill="EEF1F5"/>
          </w:tcPr>
          <w:p>
            <w:pPr>
              <w:spacing w:after="0" w:line="245" w:lineRule="auto"/>
            </w:pPr>
            <w:r>
              <w:rPr>
                <w:b/>
                <w:sz w:val="19"/>
              </w:rPr>
              <w:t>Смысл и условие использования</w:t>
            </w:r>
          </w:p>
        </w:tc>
      </w:tr>
      <w:tr>
        <w:trPr>
          <w:cantSplit/>
        </w:trPr>
        <w:tc>
          <w:tcPr>
            <w:tcW w:type="dxa" w:w="2664"/>
            <w:tcMar>
              <w:top w:w="75" w:type="dxa"/>
              <w:left w:w="75" w:type="dxa"/>
              <w:bottom w:w="75" w:type="dxa"/>
              <w:right w:w="75" w:type="dxa"/>
            </w:tcMar>
          </w:tcPr>
          <w:p>
            <w:pPr>
              <w:spacing w:after="0" w:line="245" w:lineRule="auto"/>
            </w:pPr>
            <w:r>
              <w:rPr>
                <w:sz w:val="19"/>
              </w:rPr>
              <w:t>Рост относительно других тем</w:t>
            </w:r>
          </w:p>
        </w:tc>
        <w:tc>
          <w:tcPr>
            <w:tcW w:type="dxa" w:w="1512"/>
            <w:tcMar>
              <w:top w:w="75" w:type="dxa"/>
              <w:left w:w="75" w:type="dxa"/>
              <w:bottom w:w="75" w:type="dxa"/>
              <w:right w:w="75" w:type="dxa"/>
            </w:tcMar>
          </w:tcPr>
          <w:p>
            <w:pPr>
              <w:spacing w:after="0" w:line="245" w:lineRule="auto"/>
            </w:pPr>
            <w:r>
              <w:rPr>
                <w:sz w:val="19"/>
              </w:rPr>
              <w:t>40</w:t>
            </w:r>
          </w:p>
        </w:tc>
        <w:tc>
          <w:tcPr>
            <w:tcW w:type="dxa" w:w="5760"/>
            <w:tcMar>
              <w:top w:w="75" w:type="dxa"/>
              <w:left w:w="75" w:type="dxa"/>
              <w:bottom w:w="75" w:type="dxa"/>
              <w:right w:w="75" w:type="dxa"/>
            </w:tcMar>
          </w:tcPr>
          <w:p>
            <w:pPr>
              <w:spacing w:after="0" w:line="245" w:lineRule="auto"/>
            </w:pPr>
            <w:r>
              <w:rPr>
                <w:sz w:val="19"/>
              </w:rPr>
              <w:t>Относительное положение темпа изменения доли. Вклад используется только при сопоставимом покрытии периодов</w:t>
            </w:r>
          </w:p>
        </w:tc>
      </w:tr>
      <w:tr>
        <w:trPr>
          <w:cantSplit/>
        </w:trPr>
        <w:tc>
          <w:tcPr>
            <w:tcW w:type="dxa" w:w="2664"/>
            <w:tcMar>
              <w:top w:w="75" w:type="dxa"/>
              <w:left w:w="75" w:type="dxa"/>
              <w:bottom w:w="75" w:type="dxa"/>
              <w:right w:w="75" w:type="dxa"/>
            </w:tcMar>
          </w:tcPr>
          <w:p>
            <w:pPr>
              <w:spacing w:after="0" w:line="245" w:lineRule="auto"/>
            </w:pPr>
            <w:r>
              <w:rPr>
                <w:sz w:val="19"/>
              </w:rPr>
              <w:t>Новизна</w:t>
            </w:r>
          </w:p>
        </w:tc>
        <w:tc>
          <w:tcPr>
            <w:tcW w:type="dxa" w:w="1512"/>
            <w:tcMar>
              <w:top w:w="75" w:type="dxa"/>
              <w:left w:w="75" w:type="dxa"/>
              <w:bottom w:w="75" w:type="dxa"/>
              <w:right w:w="75" w:type="dxa"/>
            </w:tcMar>
          </w:tcPr>
          <w:p>
            <w:pPr>
              <w:spacing w:after="0" w:line="245" w:lineRule="auto"/>
            </w:pPr>
            <w:r>
              <w:rPr>
                <w:sz w:val="19"/>
              </w:rPr>
              <w:t>25</w:t>
            </w:r>
          </w:p>
        </w:tc>
        <w:tc>
          <w:tcPr>
            <w:tcW w:type="dxa" w:w="5760"/>
            <w:tcMar>
              <w:top w:w="75" w:type="dxa"/>
              <w:left w:w="75" w:type="dxa"/>
              <w:bottom w:w="75" w:type="dxa"/>
              <w:right w:w="75" w:type="dxa"/>
            </w:tcMar>
          </w:tcPr>
          <w:p>
            <w:pPr>
              <w:spacing w:after="0" w:line="245" w:lineRule="auto"/>
            </w:pPr>
            <w:r>
              <w:rPr>
                <w:sz w:val="19"/>
              </w:rPr>
              <w:t>Отличие от доступного научного фона. Зависит от состава фона, модели и числа тем для сравнения</w:t>
            </w:r>
          </w:p>
        </w:tc>
      </w:tr>
      <w:tr>
        <w:trPr>
          <w:cantSplit/>
        </w:trPr>
        <w:tc>
          <w:tcPr>
            <w:tcW w:type="dxa" w:w="2664"/>
            <w:tcMar>
              <w:top w:w="75" w:type="dxa"/>
              <w:left w:w="75" w:type="dxa"/>
              <w:bottom w:w="75" w:type="dxa"/>
              <w:right w:w="75" w:type="dxa"/>
            </w:tcMar>
          </w:tcPr>
          <w:p>
            <w:pPr>
              <w:spacing w:after="0" w:line="245" w:lineRule="auto"/>
            </w:pPr>
            <w:r>
              <w:rPr>
                <w:sz w:val="19"/>
              </w:rPr>
              <w:t>Устойчивость</w:t>
            </w:r>
          </w:p>
        </w:tc>
        <w:tc>
          <w:tcPr>
            <w:tcW w:type="dxa" w:w="1512"/>
            <w:tcMar>
              <w:top w:w="75" w:type="dxa"/>
              <w:left w:w="75" w:type="dxa"/>
              <w:bottom w:w="75" w:type="dxa"/>
              <w:right w:w="75" w:type="dxa"/>
            </w:tcMar>
          </w:tcPr>
          <w:p>
            <w:pPr>
              <w:spacing w:after="0" w:line="245" w:lineRule="auto"/>
            </w:pPr>
            <w:r>
              <w:rPr>
                <w:sz w:val="19"/>
              </w:rPr>
              <w:t>15</w:t>
            </w:r>
          </w:p>
        </w:tc>
        <w:tc>
          <w:tcPr>
            <w:tcW w:type="dxa" w:w="5760"/>
            <w:tcMar>
              <w:top w:w="75" w:type="dxa"/>
              <w:left w:w="75" w:type="dxa"/>
              <w:bottom w:w="75" w:type="dxa"/>
              <w:right w:w="75" w:type="dxa"/>
            </w:tcMar>
          </w:tcPr>
          <w:p>
            <w:pPr>
              <w:spacing w:after="0" w:line="245" w:lineRule="auto"/>
            </w:pPr>
            <w:r>
              <w:rPr>
                <w:sz w:val="19"/>
              </w:rPr>
              <w:t>Присутствие темы в последовательных полных периодах. Случайный разовый всплеск слабее устойчивого следа</w:t>
            </w:r>
          </w:p>
        </w:tc>
      </w:tr>
      <w:tr>
        <w:trPr>
          <w:cantSplit/>
        </w:trPr>
        <w:tc>
          <w:tcPr>
            <w:tcW w:type="dxa" w:w="2664"/>
            <w:tcMar>
              <w:top w:w="75" w:type="dxa"/>
              <w:left w:w="75" w:type="dxa"/>
              <w:bottom w:w="75" w:type="dxa"/>
              <w:right w:w="75" w:type="dxa"/>
            </w:tcMar>
          </w:tcPr>
          <w:p>
            <w:pPr>
              <w:spacing w:after="0" w:line="245" w:lineRule="auto"/>
            </w:pPr>
            <w:r>
              <w:rPr>
                <w:sz w:val="19"/>
              </w:rPr>
              <w:t>Независимые группы</w:t>
            </w:r>
          </w:p>
        </w:tc>
        <w:tc>
          <w:tcPr>
            <w:tcW w:type="dxa" w:w="1512"/>
            <w:tcMar>
              <w:top w:w="75" w:type="dxa"/>
              <w:left w:w="75" w:type="dxa"/>
              <w:bottom w:w="75" w:type="dxa"/>
              <w:right w:w="75" w:type="dxa"/>
            </w:tcMar>
          </w:tcPr>
          <w:p>
            <w:pPr>
              <w:spacing w:after="0" w:line="245" w:lineRule="auto"/>
            </w:pPr>
            <w:r>
              <w:rPr>
                <w:sz w:val="19"/>
              </w:rPr>
              <w:t>10</w:t>
            </w:r>
          </w:p>
        </w:tc>
        <w:tc>
          <w:tcPr>
            <w:tcW w:type="dxa" w:w="5760"/>
            <w:tcMar>
              <w:top w:w="75" w:type="dxa"/>
              <w:left w:w="75" w:type="dxa"/>
              <w:bottom w:w="75" w:type="dxa"/>
              <w:right w:w="75" w:type="dxa"/>
            </w:tcMar>
          </w:tcPr>
          <w:p>
            <w:pPr>
              <w:spacing w:after="0" w:line="245" w:lineRule="auto"/>
            </w:pPr>
            <w:r>
              <w:rPr>
                <w:sz w:val="19"/>
              </w:rPr>
              <w:t>Признак распространения между исследовательскими группами при наличии сведений для расчёта</w:t>
            </w:r>
          </w:p>
        </w:tc>
      </w:tr>
      <w:tr>
        <w:trPr>
          <w:cantSplit/>
        </w:trPr>
        <w:tc>
          <w:tcPr>
            <w:tcW w:type="dxa" w:w="2664"/>
            <w:tcMar>
              <w:top w:w="75" w:type="dxa"/>
              <w:left w:w="75" w:type="dxa"/>
              <w:bottom w:w="75" w:type="dxa"/>
              <w:right w:w="75" w:type="dxa"/>
            </w:tcMar>
          </w:tcPr>
          <w:p>
            <w:pPr>
              <w:spacing w:after="0" w:line="245" w:lineRule="auto"/>
            </w:pPr>
            <w:r>
              <w:rPr>
                <w:sz w:val="19"/>
              </w:rPr>
              <w:t>Объём публикаций</w:t>
            </w:r>
          </w:p>
        </w:tc>
        <w:tc>
          <w:tcPr>
            <w:tcW w:type="dxa" w:w="1512"/>
            <w:tcMar>
              <w:top w:w="75" w:type="dxa"/>
              <w:left w:w="75" w:type="dxa"/>
              <w:bottom w:w="75" w:type="dxa"/>
              <w:right w:w="75" w:type="dxa"/>
            </w:tcMar>
          </w:tcPr>
          <w:p>
            <w:pPr>
              <w:spacing w:after="0" w:line="245" w:lineRule="auto"/>
            </w:pPr>
            <w:r>
              <w:rPr>
                <w:sz w:val="19"/>
              </w:rPr>
              <w:t>10</w:t>
            </w:r>
          </w:p>
        </w:tc>
        <w:tc>
          <w:tcPr>
            <w:tcW w:type="dxa" w:w="5760"/>
            <w:tcMar>
              <w:top w:w="75" w:type="dxa"/>
              <w:left w:w="75" w:type="dxa"/>
              <w:bottom w:w="75" w:type="dxa"/>
              <w:right w:w="75" w:type="dxa"/>
            </w:tcMar>
          </w:tcPr>
          <w:p>
            <w:pPr>
              <w:spacing w:after="0" w:line="245" w:lineRule="auto"/>
            </w:pPr>
            <w:r>
              <w:rPr>
                <w:sz w:val="19"/>
              </w:rPr>
              <w:t>Число канонических работ, делённое на 20, с ограничением сверху 1. Объём сам по себе не является ростом</w:t>
            </w:r>
          </w:p>
        </w:tc>
      </w:tr>
    </w:tbl>
    <w:p>
      <w:pPr>
        <w:spacing w:after="0" w:before="0" w:line="60" w:lineRule="exact"/>
      </w:pPr>
      <w:r>
        <w:rPr>
          <w:sz w:val="6"/>
        </w:rPr>
      </w:r>
    </w:p>
    <w:p>
      <w:r>
        <w:rPr>
          <w:b/>
        </w:rPr>
        <w:t>Научный балл = 40 × рост + 25 × новизна + 15 × устойчивость + 10 × независимость + 10 × объём.</w:t>
      </w:r>
      <w:r>
        <w:t xml:space="preserve"> В сумму входят только известные компоненты. Их веса не увеличиваются за счёт неизвестных.</w:t>
      </w:r>
    </w:p>
    <w:p>
      <w:pPr>
        <w:pStyle w:val="Heading2"/>
      </w:pPr>
      <w:r>
        <w:t>Что делать с неполными данными</w:t>
      </w:r>
    </w:p>
    <w:p>
      <w:r>
        <w:t>Если известны только 20 публикаций, получается 10 научных баллов. Полнота расчёта составляет 10% весов. Это не означает, что остальные признаки измерены и равны нулю. Они остаются неизвестными. Если не известен ни один компонент, балл не рассчитывается.</w:t>
      </w:r>
    </w:p>
    <w:p>
      <w:r>
        <w:t>«Полнота расчёта» показывает долю измеренных весов. «Полнота оснований» описывает доступность оснований по отдельной методике. Ни один показатель не следует называть уверенностью в успехе технологии. Сохранённый строгий научный результат также отделён от рабочего балла карточки.</w:t>
      </w:r>
    </w:p>
    <w:p>
      <w:pPr>
        <w:pStyle w:val="Heading2"/>
      </w:pPr>
      <w:r>
        <w:t>Пример расчёта</w:t>
      </w:r>
    </w:p>
    <w:p>
      <w:r>
        <w:t xml:space="preserve">Учебные значения: рост 0,8, новизна 0,6, устойчивость 0,5, независимость 0,5, объём 1. Научный балл составляет 32 + 15 + 7,5 + 5 + 10 = </w:t>
      </w:r>
      <w:r>
        <w:rPr>
          <w:b/>
        </w:rPr>
        <w:t>69,5</w:t>
      </w:r>
      <w:r>
        <w:t>. Это арифметический пример, а не результат найденного сигнала.</w:t>
      </w:r>
    </w:p>
    <w:p>
      <w:r>
        <w:t>Чтобы понять смысл числа, дополнительно нужны состав публикаций, временные окна, известные противоречия и версия методики. Нельзя заключить, что технология с 69,5 балла имеет вероятность успеха 69,5%.</w:t>
      </w:r>
    </w:p>
    <w:p>
      <w:pPr>
        <w:pStyle w:val="Heading1"/>
        <w:pageBreakBefore/>
      </w:pPr>
      <w:r>
        <w:t>4 Учёт новостей патентов и инвестиций</w:t>
      </w:r>
      <w:bookmarkStart w:id="5" w:name="s5"/>
      <w:bookmarkEnd w:id="5"/>
    </w:p>
    <w:p>
      <w:r>
        <w:t>Внешние материалы дополняют научную основу. Они не переписывают сохранённый научный расчёт и не снимают его противоречия. Общий балл считается только при наличии научного компонента.</w:t>
      </w:r>
    </w:p>
    <w:p>
      <w:r>
        <w:rPr>
          <w:b/>
        </w:rPr>
        <w:t>Общий балл = научный балл + до 10 за новости + до 10 за патенты + до 5 за инвестиционные сообщения.</w:t>
      </w:r>
      <w:r>
        <w:t xml:space="preserve"> Итог ограничен 100. Если предел достигнут, внешние прибавки пропорционально уменьшаются.</w:t>
      </w:r>
    </w:p>
    <w:p>
      <w:pPr>
        <w:pStyle w:val="Heading2"/>
      </w:pPr>
      <w:r>
        <w:t>Какие материалы допускаются в расчёт</w:t>
      </w:r>
    </w:p>
    <w:p>
      <w:r>
        <w:t>Нужны свежий успешный ответ источника, отдельная корректная ссылка, допустимая дата и связь с конкретной темой. Исключаются отмеченные повторы, будущие даты, устаревшие ответы и материалы, которые скаут назвал только общим фоном. Автоматическая связь определяется по значимым словам заголовка. Явная привязка скаутом является отдельным способом подтвердить релевантность.</w:t>
      </w:r>
    </w:p>
    <w:p>
      <w:r>
        <w:t>Автоматически связанная запись получает условный вес 0,35, выбранная скаутом как релевантная 0,65. Патент без известного семейства получает половину этого веса. Это экспериментальные коэффициенты, а не вероятность истинности или экспертного подтверждения.</w:t>
      </w:r>
    </w:p>
    <w:p>
      <w:pPr>
        <w:pStyle w:val="Heading2"/>
      </w:pPr>
      <w:r>
        <w:t>Как оценивается отдельная ось</w:t>
      </w:r>
    </w:p>
    <w:p>
      <w:r>
        <w:t>Пусть E обозначает сумму весов учтённых записей, P число разных издателей, R сумму весов материалов текущего года, A число разных заявителей.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tcMar>
              <w:top w:w="75" w:type="dxa"/>
              <w:left w:w="75" w:type="dxa"/>
              <w:bottom w:w="75" w:type="dxa"/>
              <w:right w:w="75" w:type="dxa"/>
            </w:tcMar>
            <w:shd w:fill="EEF1F5"/>
          </w:tcPr>
          <w:p>
            <w:pPr>
              <w:spacing w:after="0" w:line="245" w:lineRule="auto"/>
            </w:pPr>
            <w:r>
              <w:rPr>
                <w:b/>
                <w:sz w:val="19"/>
              </w:rPr>
              <w:t>Ось</w:t>
            </w:r>
          </w:p>
        </w:tc>
        <w:tc>
          <w:tcPr>
            <w:tcW w:type="dxa" w:w="6984"/>
            <w:tcMar>
              <w:top w:w="75" w:type="dxa"/>
              <w:left w:w="75" w:type="dxa"/>
              <w:bottom w:w="75" w:type="dxa"/>
              <w:right w:w="75" w:type="dxa"/>
            </w:tcMar>
            <w:shd w:fill="EEF1F5"/>
          </w:tcPr>
          <w:p>
            <w:pPr>
              <w:spacing w:after="0" w:line="245" w:lineRule="auto"/>
            </w:pPr>
            <w:r>
              <w:rPr>
                <w:b/>
                <w:sz w:val="19"/>
              </w:rPr>
              <w:t>Оценка оси от 0 до 100</w:t>
            </w:r>
          </w:p>
        </w:tc>
      </w:tr>
      <w:tr>
        <w:trPr>
          <w:cantSplit/>
        </w:trPr>
        <w:tc>
          <w:tcPr>
            <w:tcW w:type="dxa" w:w="2952"/>
            <w:tcMar>
              <w:top w:w="75" w:type="dxa"/>
              <w:left w:w="75" w:type="dxa"/>
              <w:bottom w:w="75" w:type="dxa"/>
              <w:right w:w="75" w:type="dxa"/>
            </w:tcMar>
          </w:tcPr>
          <w:p>
            <w:pPr>
              <w:spacing w:after="0" w:line="245" w:lineRule="auto"/>
            </w:pPr>
            <w:r>
              <w:rPr>
                <w:sz w:val="19"/>
              </w:rPr>
              <w:t>Новости и инвестиционные сообщения</w:t>
            </w:r>
          </w:p>
        </w:tc>
        <w:tc>
          <w:tcPr>
            <w:tcW w:type="dxa" w:w="6984"/>
            <w:tcMar>
              <w:top w:w="75" w:type="dxa"/>
              <w:left w:w="75" w:type="dxa"/>
              <w:bottom w:w="75" w:type="dxa"/>
              <w:right w:w="75" w:type="dxa"/>
            </w:tcMar>
          </w:tcPr>
          <w:p>
            <w:pPr>
              <w:spacing w:after="0" w:line="245" w:lineRule="auto"/>
            </w:pPr>
            <w:r>
              <w:rPr>
                <w:sz w:val="19"/>
              </w:rPr>
              <w:t>60 × min(1, E / 4) + 20 × min(1, P / 3) + 20 × min(1, R / 4)</w:t>
            </w:r>
          </w:p>
        </w:tc>
      </w:tr>
      <w:tr>
        <w:trPr>
          <w:cantSplit/>
        </w:trPr>
        <w:tc>
          <w:tcPr>
            <w:tcW w:type="dxa" w:w="2952"/>
            <w:tcMar>
              <w:top w:w="75" w:type="dxa"/>
              <w:left w:w="75" w:type="dxa"/>
              <w:bottom w:w="75" w:type="dxa"/>
              <w:right w:w="75" w:type="dxa"/>
            </w:tcMar>
          </w:tcPr>
          <w:p>
            <w:pPr>
              <w:spacing w:after="0" w:line="245" w:lineRule="auto"/>
            </w:pPr>
            <w:r>
              <w:rPr>
                <w:sz w:val="19"/>
              </w:rPr>
              <w:t>Патенты</w:t>
            </w:r>
          </w:p>
        </w:tc>
        <w:tc>
          <w:tcPr>
            <w:tcW w:type="dxa" w:w="6984"/>
            <w:tcMar>
              <w:top w:w="75" w:type="dxa"/>
              <w:left w:w="75" w:type="dxa"/>
              <w:bottom w:w="75" w:type="dxa"/>
              <w:right w:w="75" w:type="dxa"/>
            </w:tcMar>
          </w:tcPr>
          <w:p>
            <w:pPr>
              <w:spacing w:after="0" w:line="245" w:lineRule="auto"/>
            </w:pPr>
            <w:r>
              <w:rPr>
                <w:sz w:val="19"/>
              </w:rPr>
              <w:t>70 × min(1, E / 4) + 30 × min(1, A / 3)</w:t>
            </w:r>
          </w:p>
        </w:tc>
      </w:tr>
    </w:tbl>
    <w:p>
      <w:pPr>
        <w:spacing w:after="0" w:before="0" w:line="60" w:lineRule="exact"/>
      </w:pPr>
      <w:r>
        <w:rPr>
          <w:sz w:val="6"/>
        </w:rPr>
      </w:r>
    </w:p>
    <w:p>
      <w:r>
        <w:t xml:space="preserve">Если подходящих записей нет, ось неизвестна, а не измерена нулём. Оценка новостной оси 80 даёт 8 дополнительных баллов, патентной 60 даёт 6, инвестиционной 40 даёт 2. При научной основе 69,5 общий учебный результат будет </w:t>
      </w:r>
      <w:r>
        <w:rPr>
          <w:b/>
        </w:rPr>
        <w:t>85,5</w:t>
      </w:r>
      <w:r>
        <w:t>.</w:t>
      </w:r>
    </w:p>
    <w:p>
      <w:r>
        <w:t>Повторы новостей сводятся по доступной идентичности события или нормализованному заголовку. Патенты сводятся по доступному семейству. Между разными патентными поставщиками полная дедупликация семейств не гарантирована. Разные домены также не гарантируют независимых редакций.</w:t>
      </w:r>
    </w:p>
    <w:p>
      <w:r>
        <w:rPr>
          <w:b/>
        </w:rPr>
        <w:t>Ограничения.</w:t>
      </w:r>
      <w:r>
        <w:t xml:space="preserve"> Рост числа новостей по графику в балл не входит. Суммы инвестиций автоматически не складываются. Гранты, программы, госконтракты и каталоги компаний не приравниваются к инвестиционным сделкам. Истинность сообщений и юридическая сила патента автоматически не проверяются.</w:t>
      </w:r>
    </w:p>
    <w:p>
      <w:pPr>
        <w:pStyle w:val="Heading1"/>
        <w:pageBreakBefore/>
      </w:pPr>
      <w:r>
        <w:t>5 Диаграммы и динамика</w:t>
      </w:r>
      <w:bookmarkStart w:id="6" w:name="s6"/>
      <w:bookmarkEnd w:id="6"/>
    </w:p>
    <w:p>
      <w:pPr>
        <w:pStyle w:val="Heading2"/>
      </w:pPr>
      <w:r>
        <w:t>Лепестковая диаграмма четырёх источников</w:t>
      </w:r>
    </w:p>
    <w:p>
      <w:r>
        <w:t>Диаграмма в карточке показывает оценки четырёх каналов: «Наука», «Новости», «Патенты», «Инвестиции». Каждая ось имеет шкалу от 0 до 100. Неизвестная ось не изображается как измеренный ноль. Замкнутый контур строится только при наличии всех четырёх оценок.</w:t>
      </w:r>
    </w:p>
    <w:p>
      <w:r>
        <w:t>Длина лепестка и вклад в общий балл различаются. Наука может дать до 100 баллов, новости и патенты до 10 каждый, инвестиционные сообщения до 5. Общий результат не является средним четырёх осей. Фактические вклады показаны в блоке «Из чего складывается оценка».</w:t>
      </w:r>
    </w:p>
    <w:p>
      <w:pPr>
        <w:pStyle w:val="Heading2"/>
      </w:pPr>
      <w:r>
        <w:t>Динамика публикаций</w:t>
      </w:r>
    </w:p>
    <w:p>
      <w:r>
        <w:t>Для темы в периоде t доля определяется как число её работ n(t), делённое на число работ сопоставимого корпуса N(t). Увеличение n(t) ещё не доказывает рост доли: N(t) могло вырасти быстрее. Надёжность сравнения зависит от одинаковых правил сбора и полноты периодов.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tcMar>
              <w:top w:w="75" w:type="dxa"/>
              <w:left w:w="75" w:type="dxa"/>
              <w:bottom w:w="75" w:type="dxa"/>
              <w:right w:w="75" w:type="dxa"/>
            </w:tcMar>
            <w:shd w:fill="EEF1F5"/>
          </w:tcPr>
          <w:p>
            <w:pPr>
              <w:spacing w:after="0" w:line="245" w:lineRule="auto"/>
            </w:pPr>
            <w:r>
              <w:rPr>
                <w:b/>
                <w:sz w:val="19"/>
              </w:rPr>
              <w:t>Подпись</w:t>
            </w:r>
          </w:p>
        </w:tc>
        <w:tc>
          <w:tcPr>
            <w:tcW w:type="dxa" w:w="6984"/>
            <w:tcMar>
              <w:top w:w="75" w:type="dxa"/>
              <w:left w:w="75" w:type="dxa"/>
              <w:bottom w:w="75" w:type="dxa"/>
              <w:right w:w="75" w:type="dxa"/>
            </w:tcMar>
            <w:shd w:fill="EEF1F5"/>
          </w:tcPr>
          <w:p>
            <w:pPr>
              <w:spacing w:after="0" w:line="245" w:lineRule="auto"/>
            </w:pPr>
            <w:r>
              <w:rPr>
                <w:b/>
                <w:sz w:val="19"/>
              </w:rPr>
              <w:t>Как читать</w:t>
            </w:r>
          </w:p>
        </w:tc>
      </w:tr>
      <w:tr>
        <w:trPr>
          <w:cantSplit/>
        </w:trPr>
        <w:tc>
          <w:tcPr>
            <w:tcW w:type="dxa" w:w="2952"/>
            <w:tcMar>
              <w:top w:w="75" w:type="dxa"/>
              <w:left w:w="75" w:type="dxa"/>
              <w:bottom w:w="75" w:type="dxa"/>
              <w:right w:w="75" w:type="dxa"/>
            </w:tcMar>
          </w:tcPr>
          <w:p>
            <w:pPr>
              <w:spacing w:after="0" w:line="245" w:lineRule="auto"/>
            </w:pPr>
            <w:r>
              <w:rPr>
                <w:sz w:val="19"/>
              </w:rPr>
              <w:t>Доля +… п.п. за период</w:t>
            </w:r>
          </w:p>
        </w:tc>
        <w:tc>
          <w:tcPr>
            <w:tcW w:type="dxa" w:w="6984"/>
            <w:tcMar>
              <w:top w:w="75" w:type="dxa"/>
              <w:left w:w="75" w:type="dxa"/>
              <w:bottom w:w="75" w:type="dxa"/>
              <w:right w:w="75" w:type="dxa"/>
            </w:tcMar>
          </w:tcPr>
          <w:p>
            <w:pPr>
              <w:spacing w:after="0" w:line="245" w:lineRule="auto"/>
            </w:pPr>
            <w:r>
              <w:rPr>
                <w:sz w:val="19"/>
              </w:rPr>
              <w:t>Наклон тренда доли в сопоставимых полных периодах. Процентный пункт выражает разницу долей. Например, с 1% до 2% это 1 п.п., а не 1% относительного роста</w:t>
            </w:r>
          </w:p>
        </w:tc>
      </w:tr>
      <w:tr>
        <w:trPr>
          <w:cantSplit/>
        </w:trPr>
        <w:tc>
          <w:tcPr>
            <w:tcW w:type="dxa" w:w="2952"/>
            <w:tcMar>
              <w:top w:w="75" w:type="dxa"/>
              <w:left w:w="75" w:type="dxa"/>
              <w:bottom w:w="75" w:type="dxa"/>
              <w:right w:w="75" w:type="dxa"/>
            </w:tcMar>
          </w:tcPr>
          <w:p>
            <w:pPr>
              <w:spacing w:after="0" w:line="245" w:lineRule="auto"/>
            </w:pPr>
            <w:r>
              <w:rPr>
                <w:sz w:val="19"/>
              </w:rPr>
              <w:t>В выборке +… работ</w:t>
            </w:r>
          </w:p>
        </w:tc>
        <w:tc>
          <w:tcPr>
            <w:tcW w:type="dxa" w:w="6984"/>
            <w:tcMar>
              <w:top w:w="75" w:type="dxa"/>
              <w:left w:w="75" w:type="dxa"/>
              <w:bottom w:w="75" w:type="dxa"/>
              <w:right w:w="75" w:type="dxa"/>
            </w:tcMar>
          </w:tcPr>
          <w:p>
            <w:pPr>
              <w:spacing w:after="0" w:line="245" w:lineRule="auto"/>
            </w:pPr>
            <w:r>
              <w:rPr>
                <w:sz w:val="19"/>
              </w:rPr>
              <w:t>В найденном наборе стало больше работ. Рост темы во всей области ещё не установлен</w:t>
            </w:r>
          </w:p>
        </w:tc>
      </w:tr>
      <w:tr>
        <w:trPr>
          <w:cantSplit/>
        </w:trPr>
        <w:tc>
          <w:tcPr>
            <w:tcW w:type="dxa" w:w="2952"/>
            <w:tcMar>
              <w:top w:w="75" w:type="dxa"/>
              <w:left w:w="75" w:type="dxa"/>
              <w:bottom w:w="75" w:type="dxa"/>
              <w:right w:w="75" w:type="dxa"/>
            </w:tcMar>
          </w:tcPr>
          <w:p>
            <w:pPr>
              <w:spacing w:after="0" w:line="245" w:lineRule="auto"/>
            </w:pPr>
            <w:r>
              <w:rPr>
                <w:sz w:val="19"/>
              </w:rPr>
              <w:t>Не установлена</w:t>
            </w:r>
          </w:p>
        </w:tc>
        <w:tc>
          <w:tcPr>
            <w:tcW w:type="dxa" w:w="6984"/>
            <w:tcMar>
              <w:top w:w="75" w:type="dxa"/>
              <w:left w:w="75" w:type="dxa"/>
              <w:bottom w:w="75" w:type="dxa"/>
              <w:right w:w="75" w:type="dxa"/>
            </w:tcMar>
          </w:tcPr>
          <w:p>
            <w:pPr>
              <w:spacing w:after="0" w:line="245" w:lineRule="auto"/>
            </w:pPr>
            <w:r>
              <w:rPr>
                <w:sz w:val="19"/>
              </w:rPr>
              <w:t>Нет достаточного основания для расчёта. Это не доказательство отсутствия роста</w:t>
            </w:r>
          </w:p>
        </w:tc>
      </w:tr>
    </w:tbl>
    <w:p>
      <w:pPr>
        <w:spacing w:after="0" w:before="0" w:line="60" w:lineRule="exact"/>
      </w:pPr>
      <w:r>
        <w:rPr>
          <w:sz w:val="6"/>
        </w:rPr>
      </w:r>
    </w:p>
    <w:p>
      <w:r>
        <w:t>Новости, патенты и инвестиционные сообщения распределяются по датам учтённых записей. Их графики описывают ограниченную выборку. Пропуск не равен нулю. Без сопоставимого полного ряда темп роста по этим каналам не рассчитывается. Дата новости, публикации патента и выдачи гранта обозначает разные события.</w:t>
      </w:r>
    </w:p>
    <w:p>
      <w:pPr>
        <w:pStyle w:val="Heading2"/>
      </w:pPr>
      <w:r>
        <w:t>Профиль активности и профиль JRC</w:t>
      </w:r>
    </w:p>
    <w:p>
      <w:r>
        <w:t>Профиль публикационной активности показывает число найденных работ, долю работ последних трёх завершённых календарных лет и активные периоды. Текущий год исключён из числителя и знаменателя этой доли. При неполном покрытии необходимых лет доля не рассчитывается. Профиль не добавляет баллы.</w:t>
      </w:r>
    </w:p>
    <w:p>
      <w:r>
        <w:t>В некоторых публичных карточках отдельно показан исторический профиль JRC 2024. Он содержит показатели отчёта, включая доли научных и патентных документов, активность и длительность публикационного следа. Это другой набор осей, а не текущая четырёхканальная оценка Horizon. Сохраняется оговорка о разных границах окна в графике и методике отчёта. Перед сравнением откройте указанную страницу источника.</w:t>
      </w:r>
    </w:p>
    <w:p>
      <w:pPr>
        <w:pStyle w:val="Heading1"/>
        <w:pageBreakBefore/>
      </w:pPr>
      <w:r>
        <w:t>6 Научные источники и покрытие</w:t>
      </w:r>
      <w:bookmarkStart w:id="7" w:name="s7"/>
      <w:bookmarkEnd w:id="7"/>
    </w:p>
    <w:p>
      <w:r>
        <w:t>Основной научный поиск опирается на OpenAlex и arXiv. Дополнительные научные каналы дают контекст в карточке, но не становятся частью научного корпуса автоматически только из-за появления в списке источников.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Источник</w:t>
            </w:r>
          </w:p>
        </w:tc>
        <w:tc>
          <w:tcPr>
            <w:tcW w:type="dxa" w:w="3067"/>
            <w:tcMar>
              <w:top w:w="75" w:type="dxa"/>
              <w:left w:w="75" w:type="dxa"/>
              <w:bottom w:w="75" w:type="dxa"/>
              <w:right w:w="75" w:type="dxa"/>
            </w:tcMar>
            <w:shd w:fill="EEF1F5"/>
          </w:tcPr>
          <w:p>
            <w:pPr>
              <w:spacing w:after="0" w:line="245" w:lineRule="auto"/>
            </w:pPr>
            <w:r>
              <w:rPr>
                <w:b/>
                <w:sz w:val="19"/>
              </w:rPr>
              <w:t>Роль в системе</w:t>
            </w:r>
          </w:p>
        </w:tc>
        <w:tc>
          <w:tcPr>
            <w:tcW w:type="dxa" w:w="4536"/>
            <w:tcMar>
              <w:top w:w="75" w:type="dxa"/>
              <w:left w:w="75" w:type="dxa"/>
              <w:bottom w:w="75" w:type="dxa"/>
              <w:right w:w="75" w:type="dxa"/>
            </w:tcMar>
            <w:shd w:fill="EEF1F5"/>
          </w:tcPr>
          <w:p>
            <w:pPr>
              <w:spacing w:after="0" w:line="245" w:lineRule="auto"/>
            </w:pPr>
            <w:r>
              <w:rPr>
                <w:b/>
                <w:sz w:val="19"/>
              </w:rPr>
              <w:t>Ограничение</w:t>
            </w:r>
          </w:p>
        </w:tc>
      </w:tr>
      <w:tr>
        <w:trPr>
          <w:cantSplit/>
        </w:trPr>
        <w:tc>
          <w:tcPr>
            <w:tcW w:type="dxa" w:w="2333"/>
            <w:tcMar>
              <w:top w:w="75" w:type="dxa"/>
              <w:left w:w="75" w:type="dxa"/>
              <w:bottom w:w="75" w:type="dxa"/>
              <w:right w:w="75" w:type="dxa"/>
            </w:tcMar>
          </w:tcPr>
          <w:p>
            <w:pPr>
              <w:spacing w:after="0" w:line="245" w:lineRule="auto"/>
            </w:pPr>
            <w:r>
              <w:rPr>
                <w:sz w:val="19"/>
              </w:rPr>
              <w:t>OpenAlex</w:t>
            </w:r>
          </w:p>
        </w:tc>
        <w:tc>
          <w:tcPr>
            <w:tcW w:type="dxa" w:w="3067"/>
            <w:tcMar>
              <w:top w:w="75" w:type="dxa"/>
              <w:left w:w="75" w:type="dxa"/>
              <w:bottom w:w="75" w:type="dxa"/>
              <w:right w:w="75" w:type="dxa"/>
            </w:tcMar>
          </w:tcPr>
          <w:p>
            <w:pPr>
              <w:spacing w:after="0" w:line="245" w:lineRule="auto"/>
            </w:pPr>
            <w:r>
              <w:rPr>
                <w:sz w:val="19"/>
              </w:rPr>
              <w:t>Метаданные работ, даты, идентификаторы, авторы и организации при наличии, тематика, ссылки и доступные аннотации</w:t>
            </w:r>
          </w:p>
        </w:tc>
        <w:tc>
          <w:tcPr>
            <w:tcW w:type="dxa" w:w="4536"/>
            <w:tcMar>
              <w:top w:w="75" w:type="dxa"/>
              <w:left w:w="75" w:type="dxa"/>
              <w:bottom w:w="75" w:type="dxa"/>
              <w:right w:w="75" w:type="dxa"/>
            </w:tcMar>
          </w:tcPr>
          <w:p>
            <w:pPr>
              <w:spacing w:after="0" w:line="245" w:lineRule="auto"/>
            </w:pPr>
            <w:r>
              <w:rPr>
                <w:sz w:val="19"/>
              </w:rPr>
              <w:t>Неполные поля, меняющиеся API-квоты, различия охвата и задержки индексации</w:t>
            </w:r>
          </w:p>
        </w:tc>
      </w:tr>
      <w:tr>
        <w:trPr>
          <w:cantSplit/>
        </w:trPr>
        <w:tc>
          <w:tcPr>
            <w:tcW w:type="dxa" w:w="2333"/>
            <w:tcMar>
              <w:top w:w="75" w:type="dxa"/>
              <w:left w:w="75" w:type="dxa"/>
              <w:bottom w:w="75" w:type="dxa"/>
              <w:right w:w="75" w:type="dxa"/>
            </w:tcMar>
          </w:tcPr>
          <w:p>
            <w:pPr>
              <w:spacing w:after="0" w:line="245" w:lineRule="auto"/>
            </w:pPr>
            <w:r>
              <w:rPr>
                <w:sz w:val="19"/>
              </w:rPr>
              <w:t>arXiv API</w:t>
            </w:r>
          </w:p>
        </w:tc>
        <w:tc>
          <w:tcPr>
            <w:tcW w:type="dxa" w:w="3067"/>
            <w:tcMar>
              <w:top w:w="75" w:type="dxa"/>
              <w:left w:w="75" w:type="dxa"/>
              <w:bottom w:w="75" w:type="dxa"/>
              <w:right w:w="75" w:type="dxa"/>
            </w:tcMar>
          </w:tcPr>
          <w:p>
            <w:pPr>
              <w:spacing w:after="0" w:line="245" w:lineRule="auto"/>
            </w:pPr>
            <w:r>
              <w:rPr>
                <w:sz w:val="19"/>
              </w:rPr>
              <w:t>Ограниченный поиск препринтов и их версий в переносимом режиме</w:t>
            </w:r>
          </w:p>
        </w:tc>
        <w:tc>
          <w:tcPr>
            <w:tcW w:type="dxa" w:w="4536"/>
            <w:tcMar>
              <w:top w:w="75" w:type="dxa"/>
              <w:left w:w="75" w:type="dxa"/>
              <w:bottom w:w="75" w:type="dxa"/>
              <w:right w:w="75" w:type="dxa"/>
            </w:tcMar>
          </w:tcPr>
          <w:p>
            <w:pPr>
              <w:spacing w:after="0" w:line="245" w:lineRule="auto"/>
            </w:pPr>
            <w:r>
              <w:rPr>
                <w:sz w:val="19"/>
              </w:rPr>
              <w:t>Препринт не равен рецензированной статье. Лимиты и границы выдачи не дают полного корпуса</w:t>
            </w:r>
          </w:p>
        </w:tc>
      </w:tr>
      <w:tr>
        <w:trPr>
          <w:cantSplit/>
        </w:trPr>
        <w:tc>
          <w:tcPr>
            <w:tcW w:type="dxa" w:w="2333"/>
            <w:tcMar>
              <w:top w:w="75" w:type="dxa"/>
              <w:left w:w="75" w:type="dxa"/>
              <w:bottom w:w="75" w:type="dxa"/>
              <w:right w:w="75" w:type="dxa"/>
            </w:tcMar>
          </w:tcPr>
          <w:p>
            <w:pPr>
              <w:spacing w:after="0" w:line="245" w:lineRule="auto"/>
            </w:pPr>
            <w:r>
              <w:rPr>
                <w:sz w:val="19"/>
              </w:rPr>
              <w:t>Локальный архив arXiv</w:t>
            </w:r>
          </w:p>
        </w:tc>
        <w:tc>
          <w:tcPr>
            <w:tcW w:type="dxa" w:w="3067"/>
            <w:tcMar>
              <w:top w:w="75" w:type="dxa"/>
              <w:left w:w="75" w:type="dxa"/>
              <w:bottom w:w="75" w:type="dxa"/>
              <w:right w:w="75" w:type="dxa"/>
            </w:tcMar>
          </w:tcPr>
          <w:p>
            <w:pPr>
              <w:spacing w:after="0" w:line="245" w:lineRule="auto"/>
            </w:pPr>
            <w:r>
              <w:rPr>
                <w:sz w:val="19"/>
              </w:rPr>
              <w:t>Подготовленный корпус для повторных выборок и исторического анализа</w:t>
            </w:r>
          </w:p>
        </w:tc>
        <w:tc>
          <w:tcPr>
            <w:tcW w:type="dxa" w:w="4536"/>
            <w:tcMar>
              <w:top w:w="75" w:type="dxa"/>
              <w:left w:w="75" w:type="dxa"/>
              <w:bottom w:w="75" w:type="dxa"/>
              <w:right w:w="75" w:type="dxa"/>
            </w:tcMar>
          </w:tcPr>
          <w:p>
            <w:pPr>
              <w:spacing w:after="0" w:line="245" w:lineRule="auto"/>
            </w:pPr>
            <w:r>
              <w:rPr>
                <w:sz w:val="19"/>
              </w:rPr>
              <w:t>Требует отдельного диска, индекса и обновления. Не входит в репозиторий</w:t>
            </w:r>
          </w:p>
        </w:tc>
      </w:tr>
      <w:tr>
        <w:trPr>
          <w:cantSplit/>
        </w:trPr>
        <w:tc>
          <w:tcPr>
            <w:tcW w:type="dxa" w:w="2333"/>
            <w:tcMar>
              <w:top w:w="75" w:type="dxa"/>
              <w:left w:w="75" w:type="dxa"/>
              <w:bottom w:w="75" w:type="dxa"/>
              <w:right w:w="75" w:type="dxa"/>
            </w:tcMar>
          </w:tcPr>
          <w:p>
            <w:pPr>
              <w:spacing w:after="0" w:line="245" w:lineRule="auto"/>
            </w:pPr>
            <w:r>
              <w:rPr>
                <w:sz w:val="19"/>
              </w:rPr>
              <w:t>Сохранённые наборы OpenAlex</w:t>
            </w:r>
          </w:p>
        </w:tc>
        <w:tc>
          <w:tcPr>
            <w:tcW w:type="dxa" w:w="3067"/>
            <w:tcMar>
              <w:top w:w="75" w:type="dxa"/>
              <w:left w:w="75" w:type="dxa"/>
              <w:bottom w:w="75" w:type="dxa"/>
              <w:right w:w="75" w:type="dxa"/>
            </w:tcMar>
          </w:tcPr>
          <w:p>
            <w:pPr>
              <w:spacing w:after="0" w:line="245" w:lineRule="auto"/>
            </w:pPr>
            <w:r>
              <w:rPr>
                <w:sz w:val="19"/>
              </w:rPr>
              <w:t>Повторное использование ранее полученных записей при наличии подходящего профиля</w:t>
            </w:r>
          </w:p>
        </w:tc>
        <w:tc>
          <w:tcPr>
            <w:tcW w:type="dxa" w:w="4536"/>
            <w:tcMar>
              <w:top w:w="75" w:type="dxa"/>
              <w:left w:w="75" w:type="dxa"/>
              <w:bottom w:w="75" w:type="dxa"/>
              <w:right w:w="75" w:type="dxa"/>
            </w:tcMar>
          </w:tcPr>
          <w:p>
            <w:pPr>
              <w:spacing w:after="0" w:line="245" w:lineRule="auto"/>
            </w:pPr>
            <w:r>
              <w:rPr>
                <w:sz w:val="19"/>
              </w:rPr>
              <w:t>Кэш фиксирует ранее полученные данные и не доказывает актуальность или полноту всей базы</w:t>
            </w:r>
          </w:p>
        </w:tc>
      </w:tr>
    </w:tbl>
    <w:p>
      <w:pPr>
        <w:spacing w:after="0" w:before="0" w:line="60" w:lineRule="exact"/>
      </w:pPr>
      <w:r>
        <w:rPr>
          <w:sz w:val="6"/>
        </w:rPr>
      </w:r>
    </w:p>
    <w:p>
      <w:pPr>
        <w:pStyle w:val="Heading2"/>
      </w:pPr>
      <w:r>
        <w:t>Два режима получения данных</w:t>
      </w:r>
    </w:p>
    <w:p>
      <w:r>
        <w:rPr>
          <w:b/>
        </w:rPr>
        <w:t>Переносимый запуск.</w:t>
      </w:r>
      <w:r>
        <w:t xml:space="preserve"> Новый </w:t>
      </w:r>
      <w:r>
        <w:rPr>
          <w:rFonts w:ascii="Courier New" w:hAnsi="Courier New"/>
          <w:sz w:val="18"/>
        </w:rPr>
        <w:t>compose.yaml</w:t>
      </w:r>
      <w:r>
        <w:t xml:space="preserve"> разрешает ограниченный живой сбор без обязательного локального зеркала arXiv. Переключатель </w:t>
      </w:r>
      <w:r>
        <w:rPr>
          <w:rFonts w:ascii="Courier New" w:hAnsi="Courier New"/>
          <w:sz w:val="18"/>
        </w:rPr>
        <w:t>SAIA_ALLOW_LIVE_ARXIV=1</w:t>
      </w:r>
      <w:r>
        <w:t xml:space="preserve"> относится к новому профилю. Он облегчает начало работы, но не обеспечивает покрытие большого архива. При наличии подходящего зеркала оно по-прежнему предпочтительно.</w:t>
      </w:r>
    </w:p>
    <w:p>
      <w:r>
        <w:rPr>
          <w:b/>
        </w:rPr>
        <w:t>Исследовательская установка.</w:t>
      </w:r>
      <w:r>
        <w:t xml:space="preserve"> Большой локальный корпус и подготовленные индексы позволяют повторять запросы и строить более устойчивую основу для временных сравнений. Профиль </w:t>
      </w:r>
      <w:r>
        <w:rPr>
          <w:rFonts w:ascii="Courier New" w:hAnsi="Courier New"/>
          <w:sz w:val="18"/>
        </w:rPr>
        <w:t>infra/docker-compose.yml</w:t>
      </w:r>
      <w:r>
        <w:t xml:space="preserve"> содержит настройки прежней машины и не является универсальной инструкцией переноса.</w:t>
      </w:r>
    </w:p>
    <w:p>
      <w:pPr>
        <w:pStyle w:val="Heading2"/>
      </w:pPr>
      <w:r>
        <w:t>Что сохранять вместе с публикацией</w:t>
      </w:r>
    </w:p>
    <w:p>
      <w:r>
        <w:t>Для воспроизводимости важны идентификатор источника, DOI или arXiv ID при наличии, исходное название, дата публикации, версия, URL, время получения и происхождение записи. Дубликаты и версии одной работы должны отличаться от независимых исследований. При объединении записей нельзя терять исходные ссылки.</w:t>
      </w:r>
    </w:p>
    <w:p>
      <w:r>
        <w:t>Для каждого анализа нужно знать границы запроса, временной период, лимит сбора, полноту окон и состав источников. Изменение охвата может выглядеть как рост технологии. Поэтому увеличение количества скачанных записей нельзя само по себе объявлять повышением точности.</w:t>
      </w:r>
    </w:p>
    <w:p>
      <w:r>
        <w:t>Первая найденная публикация задаёт начало наблюдаемого следа. Проверка первичности результата требует чтения исследования и более ранних работ. Особенно осторожно следует трактовать темы, где есть только названия без аннотаций или мало сведений об авторах.</w:t>
      </w:r>
    </w:p>
    <w:p>
      <w:pPr>
        <w:pStyle w:val="Heading1"/>
        <w:pageBreakBefore/>
      </w:pPr>
      <w:r>
        <w:t>7 Дополнительные источники</w:t>
      </w:r>
      <w:bookmarkStart w:id="8" w:name="s8"/>
      <w:bookmarkEnd w:id="8"/>
    </w:p>
    <w:p>
      <w:r>
        <w:t>В каталоге текущей версии предусмотрены 27 базовых внешних каналов и 169 издательских фильтров Google News. Всего это 196 записей внешнего каталога, а не 196 независимых агрегаторов. Научные OpenAlex и arXiv учитываются отдельно.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Группа</w:t>
            </w:r>
          </w:p>
        </w:tc>
        <w:tc>
          <w:tcPr>
            <w:tcW w:type="dxa" w:w="3067"/>
            <w:tcMar>
              <w:top w:w="75" w:type="dxa"/>
              <w:left w:w="75" w:type="dxa"/>
              <w:bottom w:w="75" w:type="dxa"/>
              <w:right w:w="75" w:type="dxa"/>
            </w:tcMar>
            <w:shd w:fill="EEF1F5"/>
          </w:tcPr>
          <w:p>
            <w:pPr>
              <w:spacing w:after="0" w:line="245" w:lineRule="auto"/>
            </w:pPr>
            <w:r>
              <w:rPr>
                <w:b/>
                <w:sz w:val="19"/>
              </w:rPr>
              <w:t>Реализованные каналы</w:t>
            </w:r>
          </w:p>
        </w:tc>
        <w:tc>
          <w:tcPr>
            <w:tcW w:type="dxa" w:w="4536"/>
            <w:tcMar>
              <w:top w:w="75" w:type="dxa"/>
              <w:left w:w="75" w:type="dxa"/>
              <w:bottom w:w="75" w:type="dxa"/>
              <w:right w:w="75" w:type="dxa"/>
            </w:tcMar>
            <w:shd w:fill="EEF1F5"/>
          </w:tcPr>
          <w:p>
            <w:pPr>
              <w:spacing w:after="0" w:line="245" w:lineRule="auto"/>
            </w:pPr>
            <w:r>
              <w:rPr>
                <w:b/>
                <w:sz w:val="19"/>
              </w:rPr>
              <w:t>Назначение</w:t>
            </w:r>
          </w:p>
        </w:tc>
      </w:tr>
      <w:tr>
        <w:trPr>
          <w:cantSplit/>
        </w:trPr>
        <w:tc>
          <w:tcPr>
            <w:tcW w:type="dxa" w:w="2333"/>
            <w:tcMar>
              <w:top w:w="75" w:type="dxa"/>
              <w:left w:w="75" w:type="dxa"/>
              <w:bottom w:w="75" w:type="dxa"/>
              <w:right w:w="75" w:type="dxa"/>
            </w:tcMar>
          </w:tcPr>
          <w:p>
            <w:pPr>
              <w:spacing w:after="0" w:line="245" w:lineRule="auto"/>
            </w:pPr>
            <w:r>
              <w:rPr>
                <w:sz w:val="19"/>
              </w:rPr>
              <w:t>Новости</w:t>
            </w:r>
          </w:p>
        </w:tc>
        <w:tc>
          <w:tcPr>
            <w:tcW w:type="dxa" w:w="3067"/>
            <w:tcMar>
              <w:top w:w="75" w:type="dxa"/>
              <w:left w:w="75" w:type="dxa"/>
              <w:bottom w:w="75" w:type="dxa"/>
              <w:right w:w="75" w:type="dxa"/>
            </w:tcMar>
          </w:tcPr>
          <w:p>
            <w:pPr>
              <w:spacing w:after="0" w:line="245" w:lineRule="auto"/>
            </w:pPr>
            <w:r>
              <w:rPr>
                <w:sz w:val="19"/>
              </w:rPr>
              <w:t>GDELT, Google News RSS, Event Registry, Media Cloud</w:t>
            </w:r>
          </w:p>
        </w:tc>
        <w:tc>
          <w:tcPr>
            <w:tcW w:type="dxa" w:w="4536"/>
            <w:tcMar>
              <w:top w:w="75" w:type="dxa"/>
              <w:left w:w="75" w:type="dxa"/>
              <w:bottom w:w="75" w:type="dxa"/>
              <w:right w:w="75" w:type="dxa"/>
            </w:tcMar>
          </w:tcPr>
          <w:p>
            <w:pPr>
              <w:spacing w:after="0" w:line="245" w:lineRule="auto"/>
            </w:pPr>
            <w:r>
              <w:rPr>
                <w:sz w:val="19"/>
              </w:rPr>
              <w:t>Сообщения о разработках, компаниях и событиях</w:t>
            </w:r>
          </w:p>
        </w:tc>
      </w:tr>
      <w:tr>
        <w:trPr>
          <w:cantSplit/>
        </w:trPr>
        <w:tc>
          <w:tcPr>
            <w:tcW w:type="dxa" w:w="2333"/>
            <w:tcMar>
              <w:top w:w="75" w:type="dxa"/>
              <w:left w:w="75" w:type="dxa"/>
              <w:bottom w:w="75" w:type="dxa"/>
              <w:right w:w="75" w:type="dxa"/>
            </w:tcMar>
          </w:tcPr>
          <w:p>
            <w:pPr>
              <w:spacing w:after="0" w:line="245" w:lineRule="auto"/>
            </w:pPr>
            <w:r>
              <w:rPr>
                <w:sz w:val="19"/>
              </w:rPr>
              <w:t>Отдельные издатели</w:t>
            </w:r>
          </w:p>
        </w:tc>
        <w:tc>
          <w:tcPr>
            <w:tcW w:type="dxa" w:w="3067"/>
            <w:tcMar>
              <w:top w:w="75" w:type="dxa"/>
              <w:left w:w="75" w:type="dxa"/>
              <w:bottom w:w="75" w:type="dxa"/>
              <w:right w:w="75" w:type="dxa"/>
            </w:tcMar>
          </w:tcPr>
          <w:p>
            <w:pPr>
              <w:spacing w:after="0" w:line="245" w:lineRule="auto"/>
            </w:pPr>
            <w:r>
              <w:rPr>
                <w:sz w:val="19"/>
              </w:rPr>
              <w:t>RSS MIT, NASA, JPL, NIST, AIST и 169 фильтров издателей через Google News</w:t>
            </w:r>
          </w:p>
        </w:tc>
        <w:tc>
          <w:tcPr>
            <w:tcW w:type="dxa" w:w="4536"/>
            <w:tcMar>
              <w:top w:w="75" w:type="dxa"/>
              <w:left w:w="75" w:type="dxa"/>
              <w:bottom w:w="75" w:type="dxa"/>
              <w:right w:w="75" w:type="dxa"/>
            </w:tcMar>
          </w:tcPr>
          <w:p>
            <w:pPr>
              <w:spacing w:after="0" w:line="245" w:lineRule="auto"/>
            </w:pPr>
            <w:r>
              <w:rPr>
                <w:sz w:val="19"/>
              </w:rPr>
              <w:t>Уточнение информационного контекста. Фильтры используют один общий канал сбора</w:t>
            </w:r>
          </w:p>
        </w:tc>
      </w:tr>
      <w:tr>
        <w:trPr>
          <w:cantSplit/>
        </w:trPr>
        <w:tc>
          <w:tcPr>
            <w:tcW w:type="dxa" w:w="2333"/>
            <w:tcMar>
              <w:top w:w="75" w:type="dxa"/>
              <w:left w:w="75" w:type="dxa"/>
              <w:bottom w:w="75" w:type="dxa"/>
              <w:right w:w="75" w:type="dxa"/>
            </w:tcMar>
          </w:tcPr>
          <w:p>
            <w:pPr>
              <w:spacing w:after="0" w:line="245" w:lineRule="auto"/>
            </w:pPr>
            <w:r>
              <w:rPr>
                <w:sz w:val="19"/>
              </w:rPr>
              <w:t>Патенты</w:t>
            </w:r>
          </w:p>
        </w:tc>
        <w:tc>
          <w:tcPr>
            <w:tcW w:type="dxa" w:w="3067"/>
            <w:tcMar>
              <w:top w:w="75" w:type="dxa"/>
              <w:left w:w="75" w:type="dxa"/>
              <w:bottom w:w="75" w:type="dxa"/>
              <w:right w:w="75" w:type="dxa"/>
            </w:tcMar>
          </w:tcPr>
          <w:p>
            <w:pPr>
              <w:spacing w:after="0" w:line="245" w:lineRule="auto"/>
            </w:pPr>
            <w:r>
              <w:rPr>
                <w:sz w:val="19"/>
              </w:rPr>
              <w:t>EPO OPS, Lens Patents</w:t>
            </w:r>
          </w:p>
        </w:tc>
        <w:tc>
          <w:tcPr>
            <w:tcW w:type="dxa" w:w="4536"/>
            <w:tcMar>
              <w:top w:w="75" w:type="dxa"/>
              <w:left w:w="75" w:type="dxa"/>
              <w:bottom w:w="75" w:type="dxa"/>
              <w:right w:w="75" w:type="dxa"/>
            </w:tcMar>
          </w:tcPr>
          <w:p>
            <w:pPr>
              <w:spacing w:after="0" w:line="245" w:lineRule="auto"/>
            </w:pPr>
            <w:r>
              <w:rPr>
                <w:sz w:val="19"/>
              </w:rPr>
              <w:t>Патентные записи, доступные семейства и заявители</w:t>
            </w:r>
          </w:p>
        </w:tc>
      </w:tr>
      <w:tr>
        <w:trPr>
          <w:cantSplit/>
        </w:trPr>
        <w:tc>
          <w:tcPr>
            <w:tcW w:type="dxa" w:w="2333"/>
            <w:tcMar>
              <w:top w:w="75" w:type="dxa"/>
              <w:left w:w="75" w:type="dxa"/>
              <w:bottom w:w="75" w:type="dxa"/>
              <w:right w:w="75" w:type="dxa"/>
            </w:tcMar>
          </w:tcPr>
          <w:p>
            <w:pPr>
              <w:spacing w:after="0" w:line="245" w:lineRule="auto"/>
            </w:pPr>
            <w:r>
              <w:rPr>
                <w:sz w:val="19"/>
              </w:rPr>
              <w:t>Научный контекст</w:t>
            </w:r>
          </w:p>
        </w:tc>
        <w:tc>
          <w:tcPr>
            <w:tcW w:type="dxa" w:w="3067"/>
            <w:tcMar>
              <w:top w:w="75" w:type="dxa"/>
              <w:left w:w="75" w:type="dxa"/>
              <w:bottom w:w="75" w:type="dxa"/>
              <w:right w:w="75" w:type="dxa"/>
            </w:tcMar>
          </w:tcPr>
          <w:p>
            <w:pPr>
              <w:spacing w:after="0" w:line="245" w:lineRule="auto"/>
            </w:pPr>
            <w:r>
              <w:rPr>
                <w:sz w:val="19"/>
              </w:rPr>
              <w:t>Semantic Scholar, Europe PMC, NASA NTRS, OSTI</w:t>
            </w:r>
          </w:p>
        </w:tc>
        <w:tc>
          <w:tcPr>
            <w:tcW w:type="dxa" w:w="4536"/>
            <w:tcMar>
              <w:top w:w="75" w:type="dxa"/>
              <w:left w:w="75" w:type="dxa"/>
              <w:bottom w:w="75" w:type="dxa"/>
              <w:right w:w="75" w:type="dxa"/>
            </w:tcMar>
          </w:tcPr>
          <w:p>
            <w:pPr>
              <w:spacing w:after="0" w:line="245" w:lineRule="auto"/>
            </w:pPr>
            <w:r>
              <w:rPr>
                <w:sz w:val="19"/>
              </w:rPr>
              <w:t>Дополнительные исследования и технические отчёты</w:t>
            </w:r>
          </w:p>
        </w:tc>
      </w:tr>
      <w:tr>
        <w:trPr>
          <w:cantSplit/>
        </w:trPr>
        <w:tc>
          <w:tcPr>
            <w:tcW w:type="dxa" w:w="2333"/>
            <w:tcMar>
              <w:top w:w="75" w:type="dxa"/>
              <w:left w:w="75" w:type="dxa"/>
              <w:bottom w:w="75" w:type="dxa"/>
              <w:right w:w="75" w:type="dxa"/>
            </w:tcMar>
          </w:tcPr>
          <w:p>
            <w:pPr>
              <w:spacing w:after="0" w:line="245" w:lineRule="auto"/>
            </w:pPr>
            <w:r>
              <w:rPr>
                <w:sz w:val="19"/>
              </w:rPr>
              <w:t>Гранты</w:t>
            </w:r>
          </w:p>
        </w:tc>
        <w:tc>
          <w:tcPr>
            <w:tcW w:type="dxa" w:w="3067"/>
            <w:tcMar>
              <w:top w:w="75" w:type="dxa"/>
              <w:left w:w="75" w:type="dxa"/>
              <w:bottom w:w="75" w:type="dxa"/>
              <w:right w:w="75" w:type="dxa"/>
            </w:tcMar>
          </w:tcPr>
          <w:p>
            <w:pPr>
              <w:spacing w:after="0" w:line="245" w:lineRule="auto"/>
            </w:pPr>
            <w:r>
              <w:rPr>
                <w:sz w:val="19"/>
              </w:rPr>
              <w:t>NIH, UKRI, NSF, OpenAIRE</w:t>
            </w:r>
          </w:p>
        </w:tc>
        <w:tc>
          <w:tcPr>
            <w:tcW w:type="dxa" w:w="4536"/>
            <w:tcMar>
              <w:top w:w="75" w:type="dxa"/>
              <w:left w:w="75" w:type="dxa"/>
              <w:bottom w:w="75" w:type="dxa"/>
              <w:right w:w="75" w:type="dxa"/>
            </w:tcMar>
          </w:tcPr>
          <w:p>
            <w:pPr>
              <w:spacing w:after="0" w:line="245" w:lineRule="auto"/>
            </w:pPr>
            <w:r>
              <w:rPr>
                <w:sz w:val="19"/>
              </w:rPr>
              <w:t>Исследовательские проекты и финансирование, отдельно от сделок</w:t>
            </w:r>
          </w:p>
        </w:tc>
      </w:tr>
      <w:tr>
        <w:trPr>
          <w:cantSplit/>
        </w:trPr>
        <w:tc>
          <w:tcPr>
            <w:tcW w:type="dxa" w:w="2333"/>
            <w:tcMar>
              <w:top w:w="75" w:type="dxa"/>
              <w:left w:w="75" w:type="dxa"/>
              <w:bottom w:w="75" w:type="dxa"/>
              <w:right w:w="75" w:type="dxa"/>
            </w:tcMar>
          </w:tcPr>
          <w:p>
            <w:pPr>
              <w:spacing w:after="0" w:line="245" w:lineRule="auto"/>
            </w:pPr>
            <w:r>
              <w:rPr>
                <w:sz w:val="19"/>
              </w:rPr>
              <w:t>Программы и контракты</w:t>
            </w:r>
          </w:p>
        </w:tc>
        <w:tc>
          <w:tcPr>
            <w:tcW w:type="dxa" w:w="3067"/>
            <w:tcMar>
              <w:top w:w="75" w:type="dxa"/>
              <w:left w:w="75" w:type="dxa"/>
              <w:bottom w:w="75" w:type="dxa"/>
              <w:right w:w="75" w:type="dxa"/>
            </w:tcMar>
          </w:tcPr>
          <w:p>
            <w:pPr>
              <w:spacing w:after="0" w:line="245" w:lineRule="auto"/>
            </w:pPr>
            <w:r>
              <w:rPr>
                <w:sz w:val="19"/>
              </w:rPr>
              <w:t>EU Funding and Tenders, USAspending</w:t>
            </w:r>
          </w:p>
        </w:tc>
        <w:tc>
          <w:tcPr>
            <w:tcW w:type="dxa" w:w="4536"/>
            <w:tcMar>
              <w:top w:w="75" w:type="dxa"/>
              <w:left w:w="75" w:type="dxa"/>
              <w:bottom w:w="75" w:type="dxa"/>
              <w:right w:w="75" w:type="dxa"/>
            </w:tcMar>
          </w:tcPr>
          <w:p>
            <w:pPr>
              <w:spacing w:after="0" w:line="245" w:lineRule="auto"/>
            </w:pPr>
            <w:r>
              <w:rPr>
                <w:sz w:val="19"/>
              </w:rPr>
              <w:t>Программы поддержки и государственные обязательства</w:t>
            </w:r>
          </w:p>
        </w:tc>
      </w:tr>
      <w:tr>
        <w:trPr>
          <w:cantSplit/>
        </w:trPr>
        <w:tc>
          <w:tcPr>
            <w:tcW w:type="dxa" w:w="2333"/>
            <w:tcMar>
              <w:top w:w="75" w:type="dxa"/>
              <w:left w:w="75" w:type="dxa"/>
              <w:bottom w:w="75" w:type="dxa"/>
              <w:right w:w="75" w:type="dxa"/>
            </w:tcMar>
          </w:tcPr>
          <w:p>
            <w:pPr>
              <w:spacing w:after="0" w:line="245" w:lineRule="auto"/>
            </w:pPr>
            <w:r>
              <w:rPr>
                <w:sz w:val="19"/>
              </w:rPr>
              <w:t>Артефакты разработки</w:t>
            </w:r>
          </w:p>
        </w:tc>
        <w:tc>
          <w:tcPr>
            <w:tcW w:type="dxa" w:w="3067"/>
            <w:tcMar>
              <w:top w:w="75" w:type="dxa"/>
              <w:left w:w="75" w:type="dxa"/>
              <w:bottom w:w="75" w:type="dxa"/>
              <w:right w:w="75" w:type="dxa"/>
            </w:tcMar>
          </w:tcPr>
          <w:p>
            <w:pPr>
              <w:spacing w:after="0" w:line="245" w:lineRule="auto"/>
            </w:pPr>
            <w:r>
              <w:rPr>
                <w:sz w:val="19"/>
              </w:rPr>
              <w:t>Hugging Face, DataCite, deps.dev</w:t>
            </w:r>
          </w:p>
        </w:tc>
        <w:tc>
          <w:tcPr>
            <w:tcW w:type="dxa" w:w="4536"/>
            <w:tcMar>
              <w:top w:w="75" w:type="dxa"/>
              <w:left w:w="75" w:type="dxa"/>
              <w:bottom w:w="75" w:type="dxa"/>
              <w:right w:w="75" w:type="dxa"/>
            </w:tcMar>
          </w:tcPr>
          <w:p>
            <w:pPr>
              <w:spacing w:after="0" w:line="245" w:lineRule="auto"/>
            </w:pPr>
            <w:r>
              <w:rPr>
                <w:sz w:val="19"/>
              </w:rPr>
              <w:t>Модели, наборы данных, записи об артефактах и программных пакетах</w:t>
            </w:r>
          </w:p>
        </w:tc>
      </w:tr>
      <w:tr>
        <w:trPr>
          <w:cantSplit/>
        </w:trPr>
        <w:tc>
          <w:tcPr>
            <w:tcW w:type="dxa" w:w="2333"/>
            <w:tcMar>
              <w:top w:w="75" w:type="dxa"/>
              <w:left w:w="75" w:type="dxa"/>
              <w:bottom w:w="75" w:type="dxa"/>
              <w:right w:w="75" w:type="dxa"/>
            </w:tcMar>
          </w:tcPr>
          <w:p>
            <w:pPr>
              <w:spacing w:after="0" w:line="245" w:lineRule="auto"/>
            </w:pPr>
            <w:r>
              <w:rPr>
                <w:sz w:val="19"/>
              </w:rPr>
              <w:t>Клинические исследования</w:t>
            </w:r>
          </w:p>
        </w:tc>
        <w:tc>
          <w:tcPr>
            <w:tcW w:type="dxa" w:w="3067"/>
            <w:tcMar>
              <w:top w:w="75" w:type="dxa"/>
              <w:left w:w="75" w:type="dxa"/>
              <w:bottom w:w="75" w:type="dxa"/>
              <w:right w:w="75" w:type="dxa"/>
            </w:tcMar>
          </w:tcPr>
          <w:p>
            <w:pPr>
              <w:spacing w:after="0" w:line="245" w:lineRule="auto"/>
            </w:pPr>
            <w:r>
              <w:rPr>
                <w:sz w:val="19"/>
              </w:rPr>
              <w:t>ClinicalTrials.gov</w:t>
            </w:r>
          </w:p>
        </w:tc>
        <w:tc>
          <w:tcPr>
            <w:tcW w:type="dxa" w:w="4536"/>
            <w:tcMar>
              <w:top w:w="75" w:type="dxa"/>
              <w:left w:w="75" w:type="dxa"/>
              <w:bottom w:w="75" w:type="dxa"/>
              <w:right w:w="75" w:type="dxa"/>
            </w:tcMar>
          </w:tcPr>
          <w:p>
            <w:pPr>
              <w:spacing w:after="0" w:line="245" w:lineRule="auto"/>
            </w:pPr>
            <w:r>
              <w:rPr>
                <w:sz w:val="19"/>
              </w:rPr>
              <w:t>Зарегистрированные исследования, не доказанная эффективность технологии</w:t>
            </w:r>
          </w:p>
        </w:tc>
      </w:tr>
      <w:tr>
        <w:trPr>
          <w:cantSplit/>
        </w:trPr>
        <w:tc>
          <w:tcPr>
            <w:tcW w:type="dxa" w:w="2333"/>
            <w:tcMar>
              <w:top w:w="75" w:type="dxa"/>
              <w:left w:w="75" w:type="dxa"/>
              <w:bottom w:w="75" w:type="dxa"/>
              <w:right w:w="75" w:type="dxa"/>
            </w:tcMar>
          </w:tcPr>
          <w:p>
            <w:pPr>
              <w:spacing w:after="0" w:line="245" w:lineRule="auto"/>
            </w:pPr>
            <w:r>
              <w:rPr>
                <w:sz w:val="19"/>
              </w:rPr>
              <w:t>Компании и инвестиционные сообщения</w:t>
            </w:r>
          </w:p>
        </w:tc>
        <w:tc>
          <w:tcPr>
            <w:tcW w:type="dxa" w:w="3067"/>
            <w:tcMar>
              <w:top w:w="75" w:type="dxa"/>
              <w:left w:w="75" w:type="dxa"/>
              <w:bottom w:w="75" w:type="dxa"/>
              <w:right w:w="75" w:type="dxa"/>
            </w:tcMar>
          </w:tcPr>
          <w:p>
            <w:pPr>
              <w:spacing w:after="0" w:line="245" w:lineRule="auto"/>
            </w:pPr>
            <w:r>
              <w:rPr>
                <w:sz w:val="19"/>
              </w:rPr>
              <w:t>Dealroom Market Maps, Dealroom Public Rounds</w:t>
            </w:r>
          </w:p>
        </w:tc>
        <w:tc>
          <w:tcPr>
            <w:tcW w:type="dxa" w:w="4536"/>
            <w:tcMar>
              <w:top w:w="75" w:type="dxa"/>
              <w:left w:w="75" w:type="dxa"/>
              <w:bottom w:w="75" w:type="dxa"/>
              <w:right w:w="75" w:type="dxa"/>
            </w:tcMar>
          </w:tcPr>
          <w:p>
            <w:pPr>
              <w:spacing w:after="0" w:line="245" w:lineRule="auto"/>
            </w:pPr>
            <w:r>
              <w:rPr>
                <w:sz w:val="19"/>
              </w:rPr>
              <w:t>Компании и публичные сообщения. Не полная база инвестиционных сделок</w:t>
            </w:r>
          </w:p>
        </w:tc>
      </w:tr>
    </w:tbl>
    <w:p>
      <w:pPr>
        <w:spacing w:after="0" w:before="0" w:line="60" w:lineRule="exact"/>
      </w:pPr>
      <w:r>
        <w:rPr>
          <w:sz w:val="6"/>
        </w:rPr>
      </w:r>
    </w:p>
    <w:p>
      <w:pPr>
        <w:pStyle w:val="Heading2"/>
      </w:pPr>
      <w:r>
        <w:t>Как собрать дополнительные материалы</w:t>
      </w:r>
    </w:p>
    <w:p>
      <w:r>
        <w:t>В «Источниках данных» раскройте нужную группу и выберите от 1 до 8 каналов. В карточке раскройте «Уточнить поиск материалов», проверьте фразу и нажмите «Собрать материалы». Для иностранного канала может потребоваться английский термин. deps.dev требует точное имя программного пакета, а не обычный тематический запрос.</w:t>
      </w:r>
    </w:p>
    <w:p>
      <w:r>
        <w:t>Автоматическое обогащение обрабатывает видимую страницу, до 15 научных кандидатов за проход. По умолчанию используются Google News RSS, EPO OPS либо Lens при соответствующих ключах, а также Dealroom Public Rounds. Доступность источника не означает наличие релевантных результатов.</w:t>
      </w:r>
    </w:p>
    <w:p>
      <w:r>
        <w:t>В паспорте проверяйте статус, дату обращения, покрытие и ограничения. «Нет совпадений» отличается от «Нужен ключ», «Лимит запросов» и «Временно не отвечает». Сохранённая проверка издателей от 29 сентября дала 163 успешных непустых и 6 успешных пустых ответов. Она подтверждает только доступность тестовых обращений, не полноту и точность будущих запросов.</w:t>
      </w:r>
    </w:p>
    <w:p>
      <w:pPr>
        <w:pStyle w:val="Heading1"/>
        <w:pageBreakBefore/>
      </w:pPr>
      <w:r>
        <w:t>8 Публичные подборки</w:t>
      </w:r>
      <w:bookmarkStart w:id="9" w:name="s9"/>
      <w:bookmarkEnd w:id="9"/>
    </w:p>
    <w:p>
      <w:r>
        <w:t>Каталог позволяет изучать уже опубликованные наблюдения других организаций. В версии 0.4.65 сохранено 454 записи, из которых 361 относится к активным подборкам начиная с 2023 года. Ещё 93 записи JRC 2021 сохранены в архиве и не включены в текущую выдачу.</w:t>
      </w:r>
    </w:p>
    <w:p>
      <w:pPr>
        <w:keepNext/>
      </w:pPr>
      <w:r>
        <w:drawing>
          <wp:inline xmlns:a="http://schemas.openxmlformats.org/drawingml/2006/main" xmlns:pic="http://schemas.openxmlformats.org/drawingml/2006/picture">
            <wp:extent cx="6309360" cy="3549015"/>
            <wp:docPr id="1" name="Picture 1" descr="Публичный каталог Horizon. Снимок интерфейса версии 0.4.63, 29 сентября 2026 года." title="Публичный каталог Horizon. Снимок интерфейса версии 0.4.63, 29 сентября 2026 года."/>
            <wp:cNvGraphicFramePr>
              <a:graphicFrameLocks noChangeAspect="1"/>
            </wp:cNvGraphicFramePr>
            <a:graphic>
              <a:graphicData uri="http://schemas.openxmlformats.org/drawingml/2006/picture">
                <pic:pic>
                  <pic:nvPicPr>
                    <pic:cNvPr id="0" name="public-signals.png"/>
                    <pic:cNvPicPr/>
                  </pic:nvPicPr>
                  <pic:blipFill>
                    <a:blip r:embed="rId10"/>
                    <a:stretch>
                      <a:fillRect/>
                    </a:stretch>
                  </pic:blipFill>
                  <pic:spPr>
                    <a:xfrm>
                      <a:off x="0" y="0"/>
                      <a:ext cx="6309360" cy="3549015"/>
                    </a:xfrm>
                    <a:prstGeom prst="rect"/>
                  </pic:spPr>
                </pic:pic>
              </a:graphicData>
            </a:graphic>
          </wp:inline>
        </w:drawing>
      </w:r>
    </w:p>
    <w:p>
      <w:pPr>
        <w:pStyle w:val="Caption"/>
      </w:pPr>
      <w:r>
        <w:t>Публичный каталог Horizon. Снимок интерфейса версии 0.4.63, 29 сентября 2026 года.</w:t>
      </w:r>
    </w:p>
    <w:p>
      <w:r>
        <w:t>Фильтры позволяют выбирать название, источник, год, тип и категорию. «Русский» и «English» меняют содержимое публичных записей, а не весь интерфейс. Год относится к выпуску отчёта, не к появлению технологии.</w:t>
      </w:r>
    </w:p>
    <w:p>
      <w:r>
        <w:t>В активном наборе представлены JRC 2024, ESPAS 2026, EEA/Eionet 2024, Business Finland 2025 и 2026, WEF/Frontiers 2026 и MSIT/KRIBB 2025. Каталог содержит ссылки и указатели в источнике. Полные PDF в переносимый комплект не входят.</w:t>
      </w:r>
    </w:p>
    <w:p>
      <w:r>
        <w:t>В результатах основного поиска записи имеют метку «Из публичного источника». Оттуда можно запустить «Проверить по публикациям», выбрать их флажками, выгрузить и передать на экспертизу. В отдельном каталоге доступны просмотр, первоисточник и скачивание карточки. Групповой передачи на экспертизу в отдельном каталоге нет.</w:t>
      </w:r>
    </w:p>
    <w:p>
      <w:r>
        <w:t>Совпадение нормализованного названия связывает публичную запись с научным кандидатом. Оно не доказывает полное смысловое совпадение и не повышает научный балл. Для части JRC-карточек добавлены содержательные пояснения и исторические показатели. Они остаются сведениями отчёта с собственной датой и методикой.</w:t>
      </w:r>
    </w:p>
    <w:p>
      <w:pPr>
        <w:pStyle w:val="Heading1"/>
        <w:pageBreakBefore/>
      </w:pPr>
      <w:r>
        <w:t>9 Экспертиза</w:t>
      </w:r>
      <w:bookmarkStart w:id="10" w:name="s10"/>
      <w:bookmarkEnd w:id="10"/>
    </w:p>
    <w:p>
      <w:r>
        <w:t>Экспертиза сохраняет человеческое мнение о конкретной версии карточки. Её можно провести после просмотра результата, но она не обязательна для выдачи, скачивания и дальнейшего изучения.</w:t>
      </w:r>
    </w:p>
    <w:p>
      <w:pPr>
        <w:keepNext/>
      </w:pPr>
      <w:r>
        <w:drawing>
          <wp:inline xmlns:a="http://schemas.openxmlformats.org/drawingml/2006/main" xmlns:pic="http://schemas.openxmlformats.org/drawingml/2006/picture">
            <wp:extent cx="6309360" cy="3549015"/>
            <wp:docPr id="2" name="Picture 2" descr="Передача кандидата на экспертизу. Снимок интерфейса версии 0.4.63, 29 сентября 2026 года." title="Передача кандидата на экспертизу. Снимок интерфейса версии 0.4.63, 29 сентября 2026 года."/>
            <wp:cNvGraphicFramePr>
              <a:graphicFrameLocks noChangeAspect="1"/>
            </wp:cNvGraphicFramePr>
            <a:graphic>
              <a:graphicData uri="http://schemas.openxmlformats.org/drawingml/2006/picture">
                <pic:pic>
                  <pic:nvPicPr>
                    <pic:cNvPr id="0" name="expertise-form.png"/>
                    <pic:cNvPicPr/>
                  </pic:nvPicPr>
                  <pic:blipFill>
                    <a:blip r:embed="rId11"/>
                    <a:stretch>
                      <a:fillRect/>
                    </a:stretch>
                  </pic:blipFill>
                  <pic:spPr>
                    <a:xfrm>
                      <a:off x="0" y="0"/>
                      <a:ext cx="6309360" cy="3549015"/>
                    </a:xfrm>
                    <a:prstGeom prst="rect"/>
                  </pic:spPr>
                </pic:pic>
              </a:graphicData>
            </a:graphic>
          </wp:inline>
        </w:drawing>
      </w:r>
    </w:p>
    <w:p>
      <w:pPr>
        <w:pStyle w:val="Caption"/>
      </w:pPr>
      <w:r>
        <w:t>Передача кандидата на экспертизу. Снимок интерфейса версии 0.4.63, 29 сентября 2026 года.</w:t>
      </w:r>
    </w:p>
    <w:p>
      <w:pPr>
        <w:pStyle w:val="Heading2"/>
      </w:pPr>
      <w:r>
        <w:t>Как создать заявку</w:t>
      </w:r>
    </w:p>
    <w:p>
      <w:r>
        <w:t>Нажмите «На экспертизу» в строке или «Передать на экспертизу» в карточке. Для группы предварительно отметьте записи. Одна заявка содержит от 1 до 15 записей суммарно, включая научные и публичные. Укажите отправителя и получателя, затем при необходимости вопрос эксперту. Перед сохранением проверьте состав.</w:t>
      </w:r>
    </w:p>
    <w:p>
      <w:r>
        <w:t xml:space="preserve">Заявка появляется в разделе «Экспертиза». </w:t>
      </w:r>
      <w:r>
        <w:rPr>
          <w:b/>
        </w:rPr>
        <w:t>Письмо или сообщение получателю не отправляется.</w:t>
      </w:r>
      <w:r>
        <w:t xml:space="preserve"> О проверке нужно договориться отдельно. Имена являются введёнными пользователем подписями, а не подтверждёнными учётными записями.</w:t>
      </w:r>
    </w:p>
    <w:p>
      <w:pPr>
        <w:pStyle w:val="Heading2"/>
      </w:pPr>
      <w:r>
        <w:t>Как сохранить мнение</w:t>
      </w:r>
    </w:p>
    <w:p>
      <w:r>
        <w:t>Откройте карточку из заявки. Выберите решение, введите имя эксперта и обоснование от 20 до 5000 символов. В научной форме можно отметить действительно проверенные материалы из предложенного списка. API мнения допускает до 10 HTTPS-ссылок, но произвольного поля ввода URL в этой форме нет. Нажмите «Сохранить мнение».</w:t>
      </w:r>
    </w:p>
    <w:p>
      <w:r>
        <w:t>Варианты решения отражают подтверждение исследовательской линии, необходимость дальнейшей проверки, недостаточность данных, возможный дубль или шум. Формулировки для публичных записей учитывают их происхождение. Состояние заявки показывает, рассмотрены ли все карточки или только часть. Мнение сохраняется отдельно и не переписывает автоматически научные метрики.</w:t>
      </w:r>
    </w:p>
    <w:p>
      <w:pPr>
        <w:pStyle w:val="Heading1"/>
        <w:pageBreakBefore/>
      </w:pPr>
      <w:r>
        <w:t>10 Радар PESTLE модели и выгрузка</w:t>
      </w:r>
      <w:bookmarkStart w:id="11" w:name="s11"/>
      <w:bookmarkEnd w:id="11"/>
    </w:p>
    <w:p>
      <w:pPr>
        <w:pStyle w:val="Heading2"/>
      </w:pPr>
      <w:r>
        <w:t>Технологический радар</w:t>
      </w:r>
    </w:p>
    <w:p>
      <w:r>
        <w:t>Радар показывает до 30 первых научных кандидатов текущего результата. Кольца от центра: признаки роста, противоречия, недостаточность данных, рост не подтверждён. Номер связывает точку со списком. Угловое положение используется для размещения и не означает отрасль или смысловую близость. Расстояние не показывает срок внедрения или рыночную зрелость. Публичные записи без научного расчёта на радар не попадают.</w:t>
      </w:r>
    </w:p>
    <w:p>
      <w:pPr>
        <w:pStyle w:val="Heading2"/>
      </w:pPr>
      <w:r>
        <w:t>PESTLE и влияние на отрасли</w:t>
      </w:r>
    </w:p>
    <w:p>
      <w:r>
        <w:t>В научной карточке можно сохранить авторскую заметку по политике, экономике, обществу, технологиям, праву и экологии. Для гипотезы задаются характер влияния, горизонт, условия реализации и до 6 оснований. Можно описать до 8 отраслей. Заполненная гипотеза должна содержать не менее 10 символов. При отсутствии источников она помечается отдельно.</w:t>
      </w:r>
    </w:p>
    <w:p>
      <w:r>
        <w:t>Пример: «Автономная инспекция может сократить время осмотра, если точность обнаружения дефектов подтвердится на реальных объектах». Это условный эффект, а не уже установленный результат. Заметки версионируются, включаются в карточку и не меняют рейтинг. Полноценный модуль организации форсайт-сессий пока не завершён.</w:t>
      </w:r>
    </w:p>
    <w:p>
      <w:pPr>
        <w:pStyle w:val="Heading2"/>
      </w:pPr>
      <w:r>
        <w:t>Машинное описание</w:t>
      </w:r>
    </w:p>
    <w:p>
      <w:r>
        <w:t>В блоке «Описание и ценность» выберите разрешённую модель локального Ollama и нажмите «Подготовить». Она составляет русский черновик по доступным опорным фрагментам публикаций. По умолчанию в разрешённом перечне предусмотрены qwen3:4b-instruct и qwen3.5:9b. В интерфейсе видны только фактически доступные разрешённые модели.</w:t>
      </w:r>
    </w:p>
    <w:p>
      <w:r>
        <w:t>Модель пояснения не меняет состав темы, эмбеддинги или научный рейтинг. Черновик строится по ограниченным фрагментам, а не по автоматически прочитанным полным текстам. Сверка ссылок со списком карточки не гарантирует точного пересказа.</w:t>
      </w:r>
    </w:p>
    <w:p>
      <w:pPr>
        <w:pStyle w:val="Heading2"/>
      </w:pPr>
      <w:r>
        <w:t>Сохранение результатов</w:t>
      </w:r>
    </w:p>
    <w:p>
      <w:r>
        <w:t>«Скачать карточку» создаёт HTML для чтения в браузере без работающего Horizon. Научная карточка содержит доступные основания, пояснение, PESTLE и мнения экспертов. «Выгрузить» создаёт JSON до 100 выбранных записей. Если выбор пуст, используется отфильтрованная выдача, включая следующие страницы.</w:t>
      </w:r>
    </w:p>
    <w:p>
      <w:r>
        <w:t xml:space="preserve">Выгрузка не запускает новый сбор. Неизвестные значения остаются </w:t>
      </w:r>
      <w:r>
        <w:rPr>
          <w:rFonts w:ascii="Courier New" w:hAnsi="Courier New"/>
          <w:sz w:val="18"/>
        </w:rPr>
        <w:t>null</w:t>
      </w:r>
      <w:r>
        <w:t>. HTML научной карточки включает последние 20 экспертных мнений, JSON до 100 на запись. HTML публичной карточки не включает историю мнений. Контекст может быть усечён с отметкой. Это снимки результата, не резервная копия базы. Встроенная выгрузка в Word или PowerPoint пока не реализована.</w:t>
      </w:r>
    </w:p>
    <w:p>
      <w:pPr>
        <w:pStyle w:val="Heading1"/>
        <w:pageBreakBefore/>
      </w:pPr>
      <w:r>
        <w:t>11 Последовательность анализа данных</w:t>
      </w:r>
      <w:bookmarkStart w:id="12" w:name="s12"/>
      <w:bookmarkEnd w:id="12"/>
    </w:p>
    <w:p>
      <w:pPr>
        <w:pStyle w:val="Heading2"/>
      </w:pPr>
      <w:r>
        <w:t>От запроса до темы</w:t>
      </w:r>
    </w:p>
    <w:p>
      <w:r>
        <w:rPr>
          <w:b/>
        </w:rPr>
        <w:t>1. Планирование запроса.</w:t>
      </w:r>
      <w:r>
        <w:t xml:space="preserve"> Русская формулировка преобразуется в поисковые ветви с научными терминами, вариантами написания и ограничениями. План сохраняется. Подготовленные словари помогают с известными синонимами, но не исключают ошибок перевода и слишком широких сокращений.</w:t>
      </w:r>
    </w:p>
    <w:p>
      <w:r>
        <w:rPr>
          <w:b/>
        </w:rPr>
        <w:t>2. Получение данных.</w:t>
      </w:r>
      <w:r>
        <w:t xml:space="preserve"> Фоновая задача обращается к доступным источникам или подготовленному локальному корпусу. Сохраняются происхождение, границы выборки, исходные идентификаторы и состояние этапов. Лимиты API и неполные окна должны оставаться видимыми в данных расчёта.</w:t>
      </w:r>
    </w:p>
    <w:p>
      <w:r>
        <w:rPr>
          <w:b/>
        </w:rPr>
        <w:t>3. Нормализация и проверка состава.</w:t>
      </w:r>
      <w:r>
        <w:t xml:space="preserve"> Объединяются повторные библиографические записи, сопоставляются версии, проверяется соответствие запросу. Каноническая работа является единицей подсчёта, когда повтор удалось распознать. Две записи из разных баз не обязательно являются двумя исследованиями.</w:t>
      </w:r>
    </w:p>
    <w:p>
      <w:r>
        <w:rPr>
          <w:b/>
        </w:rPr>
        <w:t>4. Семантическое представление.</w:t>
      </w:r>
      <w:r>
        <w:t xml:space="preserve"> Названия и доступные аннотации переводятся в числовые векторы. В переносимом профиле предусмотрен SPECTER2 с proximity-адаптером и закреплёнными ревизиями. Повторное использование вектора допустимо при совпадении текста и модели. Отсутствие аннотации ограничивает смысловую проверку.</w:t>
      </w:r>
    </w:p>
    <w:p>
      <w:r>
        <w:rPr>
          <w:b/>
        </w:rPr>
        <w:t>5. Выделение тем.</w:t>
      </w:r>
      <w:r>
        <w:t xml:space="preserve"> Текущий полный анализ использует глобальный BERTopic: UMAP уменьшает размерность, HDBSCAN группирует близкие работы, термины помогают описать группы. Тема затем рассматривается по временным окнам. Другие исследовательские варианты существуют в проекте, но их наличие не означает одновременного применения ко всем запросам.</w:t>
      </w:r>
    </w:p>
    <w:p>
      <w:pPr>
        <w:pStyle w:val="Heading2"/>
      </w:pPr>
      <w:r>
        <w:t>От темы до результата</w:t>
      </w:r>
    </w:p>
    <w:p>
      <w:r>
        <w:rPr>
          <w:b/>
        </w:rPr>
        <w:t>6. Вычисление научных признаков.</w:t>
      </w:r>
      <w:r>
        <w:t xml:space="preserve"> Рассчитываются доступные показатели распространённости, новизны, устойчивости, независимости и динамики. Для новизны нужен подходящий исторический фон. В ограниченном режиме часть проверок не выполняется. Пропуски сохраняются как неизвестность.</w:t>
      </w:r>
    </w:p>
    <w:p>
      <w:r>
        <w:rPr>
          <w:b/>
        </w:rPr>
        <w:t>7. Проверки и ранжирование.</w:t>
      </w:r>
      <w:r>
        <w:t xml:space="preserve"> Отдельно хранятся результаты проверок объёма, концентрации, роста, первичности, связности и покрытия. Кандидат с незавершёнными проверками может быть показан пользователю. Известное противоречие нельзя скрыть новостной прибавкой к баллу.</w:t>
      </w:r>
    </w:p>
    <w:p>
      <w:r>
        <w:rPr>
          <w:b/>
        </w:rPr>
        <w:t>8. Обогащение и представление.</w:t>
      </w:r>
      <w:r>
        <w:t xml:space="preserve"> Для видимых карточек собираются дополнительные материалы, рассчитываются внешние вклады и строятся диаграммы. Публичные наблюдения добавляются с меткой происхождения. Затем доступны сохранение, экспертное мнение и авторская интерпретация.</w:t>
      </w:r>
    </w:p>
    <w:p>
      <w:r>
        <w:t>Конвейер выделяет кандидатов, а не доказывает будущий тренд. Исторический тест требует исключать будущие сведения. Текущие внешние материалы не являются реконструкцией их доступности в прошлом.</w:t>
      </w:r>
    </w:p>
    <w:p>
      <w:pPr>
        <w:pStyle w:val="Heading1"/>
        <w:pageBreakBefore/>
      </w:pPr>
      <w:r>
        <w:t>12 Архитектура и сохранение результатов</w:t>
      </w:r>
      <w:bookmarkStart w:id="13" w:name="s13"/>
      <w:bookmarkEnd w:id="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Компонент</w:t>
            </w:r>
          </w:p>
        </w:tc>
        <w:tc>
          <w:tcPr>
            <w:tcW w:type="dxa" w:w="3067"/>
            <w:tcMar>
              <w:top w:w="75" w:type="dxa"/>
              <w:left w:w="75" w:type="dxa"/>
              <w:bottom w:w="75" w:type="dxa"/>
              <w:right w:w="75" w:type="dxa"/>
            </w:tcMar>
            <w:shd w:fill="EEF1F5"/>
          </w:tcPr>
          <w:p>
            <w:pPr>
              <w:spacing w:after="0" w:line="245" w:lineRule="auto"/>
            </w:pPr>
            <w:r>
              <w:rPr>
                <w:b/>
                <w:sz w:val="19"/>
              </w:rPr>
              <w:t>Точка входа</w:t>
            </w:r>
          </w:p>
        </w:tc>
        <w:tc>
          <w:tcPr>
            <w:tcW w:type="dxa" w:w="4536"/>
            <w:tcMar>
              <w:top w:w="75" w:type="dxa"/>
              <w:left w:w="75" w:type="dxa"/>
              <w:bottom w:w="75" w:type="dxa"/>
              <w:right w:w="75" w:type="dxa"/>
            </w:tcMar>
            <w:shd w:fill="EEF1F5"/>
          </w:tcPr>
          <w:p>
            <w:pPr>
              <w:spacing w:after="0" w:line="245" w:lineRule="auto"/>
            </w:pPr>
            <w:r>
              <w:rPr>
                <w:b/>
                <w:sz w:val="19"/>
              </w:rPr>
              <w:t>Ответственность</w:t>
            </w:r>
          </w:p>
        </w:tc>
      </w:tr>
      <w:tr>
        <w:trPr>
          <w:cantSplit/>
        </w:trPr>
        <w:tc>
          <w:tcPr>
            <w:tcW w:type="dxa" w:w="2333"/>
            <w:tcMar>
              <w:top w:w="75" w:type="dxa"/>
              <w:left w:w="75" w:type="dxa"/>
              <w:bottom w:w="75" w:type="dxa"/>
              <w:right w:w="75" w:type="dxa"/>
            </w:tcMar>
          </w:tcPr>
          <w:p>
            <w:pPr>
              <w:spacing w:after="0" w:line="245" w:lineRule="auto"/>
            </w:pPr>
            <w:r>
              <w:rPr>
                <w:sz w:val="19"/>
              </w:rPr>
              <w:t>Интерфейс и API</w:t>
            </w:r>
          </w:p>
        </w:tc>
        <w:tc>
          <w:tcPr>
            <w:tcW w:type="dxa" w:w="3067"/>
            <w:tcMar>
              <w:top w:w="75" w:type="dxa"/>
              <w:left w:w="75" w:type="dxa"/>
              <w:bottom w:w="75" w:type="dxa"/>
              <w:right w:w="75" w:type="dxa"/>
            </w:tcMar>
          </w:tcPr>
          <w:p>
            <w:pPr>
              <w:spacing w:after="0" w:line="245" w:lineRule="auto"/>
            </w:pPr>
            <w:r>
              <w:rPr>
                <w:rFonts w:ascii="Courier New" w:hAnsi="Courier New"/>
                <w:sz w:val="19"/>
              </w:rPr>
              <w:t>saia/api.py</w:t>
            </w:r>
            <w:r>
              <w:rPr>
                <w:sz w:val="19"/>
              </w:rPr>
              <w:t xml:space="preserve">, </w:t>
            </w:r>
            <w:r>
              <w:rPr>
                <w:rFonts w:ascii="Courier New" w:hAnsi="Courier New"/>
                <w:sz w:val="19"/>
              </w:rPr>
              <w:t>saia/scout_web.py</w:t>
            </w:r>
          </w:p>
        </w:tc>
        <w:tc>
          <w:tcPr>
            <w:tcW w:type="dxa" w:w="4536"/>
            <w:tcMar>
              <w:top w:w="75" w:type="dxa"/>
              <w:left w:w="75" w:type="dxa"/>
              <w:bottom w:w="75" w:type="dxa"/>
              <w:right w:w="75" w:type="dxa"/>
            </w:tcMar>
          </w:tcPr>
          <w:p>
            <w:pPr>
              <w:spacing w:after="0" w:line="245" w:lineRule="auto"/>
            </w:pPr>
            <w:r>
              <w:rPr>
                <w:sz w:val="19"/>
              </w:rPr>
              <w:t>Запрос, выдача, карточка, действия пользователя</w:t>
            </w:r>
          </w:p>
        </w:tc>
      </w:tr>
      <w:tr>
        <w:trPr>
          <w:cantSplit/>
        </w:trPr>
        <w:tc>
          <w:tcPr>
            <w:tcW w:type="dxa" w:w="2333"/>
            <w:tcMar>
              <w:top w:w="75" w:type="dxa"/>
              <w:left w:w="75" w:type="dxa"/>
              <w:bottom w:w="75" w:type="dxa"/>
              <w:right w:w="75" w:type="dxa"/>
            </w:tcMar>
          </w:tcPr>
          <w:p>
            <w:pPr>
              <w:spacing w:after="0" w:line="245" w:lineRule="auto"/>
            </w:pPr>
            <w:r>
              <w:rPr>
                <w:sz w:val="19"/>
              </w:rPr>
              <w:t>HTTP запуск</w:t>
            </w:r>
          </w:p>
        </w:tc>
        <w:tc>
          <w:tcPr>
            <w:tcW w:type="dxa" w:w="3067"/>
            <w:tcMar>
              <w:top w:w="75" w:type="dxa"/>
              <w:left w:w="75" w:type="dxa"/>
              <w:bottom w:w="75" w:type="dxa"/>
              <w:right w:w="75" w:type="dxa"/>
            </w:tcMar>
          </w:tcPr>
          <w:p>
            <w:pPr>
              <w:spacing w:after="0" w:line="245" w:lineRule="auto"/>
            </w:pPr>
            <w:r>
              <w:rPr>
                <w:rFonts w:ascii="Courier New" w:hAnsi="Courier New"/>
                <w:sz w:val="19"/>
              </w:rPr>
              <w:t>saia/server.py</w:t>
            </w:r>
          </w:p>
        </w:tc>
        <w:tc>
          <w:tcPr>
            <w:tcW w:type="dxa" w:w="4536"/>
            <w:tcMar>
              <w:top w:w="75" w:type="dxa"/>
              <w:left w:w="75" w:type="dxa"/>
              <w:bottom w:w="75" w:type="dxa"/>
              <w:right w:w="75" w:type="dxa"/>
            </w:tcMar>
          </w:tcPr>
          <w:p>
            <w:pPr>
              <w:spacing w:after="0" w:line="245" w:lineRule="auto"/>
            </w:pPr>
            <w:r>
              <w:rPr>
                <w:sz w:val="19"/>
              </w:rPr>
              <w:t>Применение миграций и запуск приложения</w:t>
            </w:r>
          </w:p>
        </w:tc>
      </w:tr>
      <w:tr>
        <w:trPr>
          <w:cantSplit/>
        </w:trPr>
        <w:tc>
          <w:tcPr>
            <w:tcW w:type="dxa" w:w="2333"/>
            <w:tcMar>
              <w:top w:w="75" w:type="dxa"/>
              <w:left w:w="75" w:type="dxa"/>
              <w:bottom w:w="75" w:type="dxa"/>
              <w:right w:w="75" w:type="dxa"/>
            </w:tcMar>
          </w:tcPr>
          <w:p>
            <w:pPr>
              <w:spacing w:after="0" w:line="245" w:lineRule="auto"/>
            </w:pPr>
            <w:r>
              <w:rPr>
                <w:sz w:val="19"/>
              </w:rPr>
              <w:t>Фоновый обработчик</w:t>
            </w:r>
          </w:p>
        </w:tc>
        <w:tc>
          <w:tcPr>
            <w:tcW w:type="dxa" w:w="3067"/>
            <w:tcMar>
              <w:top w:w="75" w:type="dxa"/>
              <w:left w:w="75" w:type="dxa"/>
              <w:bottom w:w="75" w:type="dxa"/>
              <w:right w:w="75" w:type="dxa"/>
            </w:tcMar>
          </w:tcPr>
          <w:p>
            <w:pPr>
              <w:spacing w:after="0" w:line="245" w:lineRule="auto"/>
            </w:pPr>
            <w:r>
              <w:rPr>
                <w:rFonts w:ascii="Courier New" w:hAnsi="Courier New"/>
                <w:sz w:val="19"/>
              </w:rPr>
              <w:t>saia/jobs.py</w:t>
            </w:r>
          </w:p>
        </w:tc>
        <w:tc>
          <w:tcPr>
            <w:tcW w:type="dxa" w:w="4536"/>
            <w:tcMar>
              <w:top w:w="75" w:type="dxa"/>
              <w:left w:w="75" w:type="dxa"/>
              <w:bottom w:w="75" w:type="dxa"/>
              <w:right w:w="75" w:type="dxa"/>
            </w:tcMar>
          </w:tcPr>
          <w:p>
            <w:pPr>
              <w:spacing w:after="0" w:line="245" w:lineRule="auto"/>
            </w:pPr>
            <w:r>
              <w:rPr>
                <w:sz w:val="19"/>
              </w:rPr>
              <w:t>Продолжительные задания вне одного HTTP-ответа</w:t>
            </w:r>
          </w:p>
        </w:tc>
      </w:tr>
      <w:tr>
        <w:trPr>
          <w:cantSplit/>
        </w:trPr>
        <w:tc>
          <w:tcPr>
            <w:tcW w:type="dxa" w:w="2333"/>
            <w:tcMar>
              <w:top w:w="75" w:type="dxa"/>
              <w:left w:w="75" w:type="dxa"/>
              <w:bottom w:w="75" w:type="dxa"/>
              <w:right w:w="75" w:type="dxa"/>
            </w:tcMar>
          </w:tcPr>
          <w:p>
            <w:pPr>
              <w:spacing w:after="0" w:line="245" w:lineRule="auto"/>
            </w:pPr>
            <w:r>
              <w:rPr>
                <w:sz w:val="19"/>
              </w:rPr>
              <w:t>Научный сбор и анализ</w:t>
            </w:r>
          </w:p>
        </w:tc>
        <w:tc>
          <w:tcPr>
            <w:tcW w:type="dxa" w:w="3067"/>
            <w:tcMar>
              <w:top w:w="75" w:type="dxa"/>
              <w:left w:w="75" w:type="dxa"/>
              <w:bottom w:w="75" w:type="dxa"/>
              <w:right w:w="75" w:type="dxa"/>
            </w:tcMar>
          </w:tcPr>
          <w:p>
            <w:pPr>
              <w:spacing w:after="0" w:line="245" w:lineRule="auto"/>
            </w:pPr>
            <w:r>
              <w:rPr>
                <w:rFonts w:ascii="Courier New" w:hAnsi="Courier New"/>
                <w:sz w:val="19"/>
              </w:rPr>
              <w:t>discovery</w:t>
            </w:r>
            <w:r>
              <w:rPr>
                <w:sz w:val="19"/>
              </w:rPr>
              <w:t xml:space="preserve">, </w:t>
            </w:r>
            <w:r>
              <w:rPr>
                <w:rFonts w:ascii="Courier New" w:hAnsi="Courier New"/>
                <w:sz w:val="19"/>
              </w:rPr>
              <w:t>full_analysis</w:t>
            </w:r>
            <w:r>
              <w:rPr>
                <w:sz w:val="19"/>
              </w:rPr>
              <w:t xml:space="preserve">, </w:t>
            </w:r>
            <w:r>
              <w:rPr>
                <w:rFonts w:ascii="Courier New" w:hAnsi="Courier New"/>
                <w:sz w:val="19"/>
              </w:rPr>
              <w:t>embed</w:t>
            </w:r>
            <w:r>
              <w:rPr>
                <w:sz w:val="19"/>
              </w:rPr>
              <w:t xml:space="preserve">, </w:t>
            </w:r>
            <w:r>
              <w:rPr>
                <w:rFonts w:ascii="Courier New" w:hAnsi="Courier New"/>
                <w:sz w:val="19"/>
              </w:rPr>
              <w:t>cluster</w:t>
            </w:r>
          </w:p>
        </w:tc>
        <w:tc>
          <w:tcPr>
            <w:tcW w:type="dxa" w:w="4536"/>
            <w:tcMar>
              <w:top w:w="75" w:type="dxa"/>
              <w:left w:w="75" w:type="dxa"/>
              <w:bottom w:w="75" w:type="dxa"/>
              <w:right w:w="75" w:type="dxa"/>
            </w:tcMar>
          </w:tcPr>
          <w:p>
            <w:pPr>
              <w:spacing w:after="0" w:line="245" w:lineRule="auto"/>
            </w:pPr>
            <w:r>
              <w:rPr>
                <w:sz w:val="19"/>
              </w:rPr>
              <w:t>Получение работ, обработка текста, выделение тем</w:t>
            </w:r>
          </w:p>
        </w:tc>
      </w:tr>
      <w:tr>
        <w:trPr>
          <w:cantSplit/>
        </w:trPr>
        <w:tc>
          <w:tcPr>
            <w:tcW w:type="dxa" w:w="2333"/>
            <w:tcMar>
              <w:top w:w="75" w:type="dxa"/>
              <w:left w:w="75" w:type="dxa"/>
              <w:bottom w:w="75" w:type="dxa"/>
              <w:right w:w="75" w:type="dxa"/>
            </w:tcMar>
          </w:tcPr>
          <w:p>
            <w:pPr>
              <w:spacing w:after="0" w:line="245" w:lineRule="auto"/>
            </w:pPr>
            <w:r>
              <w:rPr>
                <w:sz w:val="19"/>
              </w:rPr>
              <w:t>Рабочая оценка</w:t>
            </w:r>
          </w:p>
        </w:tc>
        <w:tc>
          <w:tcPr>
            <w:tcW w:type="dxa" w:w="3067"/>
            <w:tcMar>
              <w:top w:w="75" w:type="dxa"/>
              <w:left w:w="75" w:type="dxa"/>
              <w:bottom w:w="75" w:type="dxa"/>
              <w:right w:w="75" w:type="dxa"/>
            </w:tcMar>
          </w:tcPr>
          <w:p>
            <w:pPr>
              <w:spacing w:after="0" w:line="245" w:lineRule="auto"/>
            </w:pPr>
            <w:r>
              <w:rPr>
                <w:rFonts w:ascii="Courier New" w:hAnsi="Courier New"/>
                <w:sz w:val="19"/>
              </w:rPr>
              <w:t>saia/candidate_assessment.py</w:t>
            </w:r>
          </w:p>
        </w:tc>
        <w:tc>
          <w:tcPr>
            <w:tcW w:type="dxa" w:w="4536"/>
            <w:tcMar>
              <w:top w:w="75" w:type="dxa"/>
              <w:left w:w="75" w:type="dxa"/>
              <w:bottom w:w="75" w:type="dxa"/>
              <w:right w:w="75" w:type="dxa"/>
            </w:tcMar>
          </w:tcPr>
          <w:p>
            <w:pPr>
              <w:spacing w:after="0" w:line="245" w:lineRule="auto"/>
            </w:pPr>
            <w:r>
              <w:rPr>
                <w:sz w:val="19"/>
              </w:rPr>
              <w:t>Научные вклады, внешние оси, причины исключения материалов</w:t>
            </w:r>
          </w:p>
        </w:tc>
      </w:tr>
      <w:tr>
        <w:trPr>
          <w:cantSplit/>
        </w:trPr>
        <w:tc>
          <w:tcPr>
            <w:tcW w:type="dxa" w:w="2333"/>
            <w:tcMar>
              <w:top w:w="75" w:type="dxa"/>
              <w:left w:w="75" w:type="dxa"/>
              <w:bottom w:w="75" w:type="dxa"/>
              <w:right w:w="75" w:type="dxa"/>
            </w:tcMar>
          </w:tcPr>
          <w:p>
            <w:pPr>
              <w:spacing w:after="0" w:line="245" w:lineRule="auto"/>
            </w:pPr>
            <w:r>
              <w:rPr>
                <w:sz w:val="19"/>
              </w:rPr>
              <w:t>Хранилище</w:t>
            </w:r>
          </w:p>
        </w:tc>
        <w:tc>
          <w:tcPr>
            <w:tcW w:type="dxa" w:w="3067"/>
            <w:tcMar>
              <w:top w:w="75" w:type="dxa"/>
              <w:left w:w="75" w:type="dxa"/>
              <w:bottom w:w="75" w:type="dxa"/>
              <w:right w:w="75" w:type="dxa"/>
            </w:tcMar>
          </w:tcPr>
          <w:p>
            <w:pPr>
              <w:spacing w:after="0" w:line="245" w:lineRule="auto"/>
            </w:pPr>
            <w:r>
              <w:rPr>
                <w:sz w:val="19"/>
              </w:rPr>
              <w:t>PostgreSQL и pgvector</w:t>
            </w:r>
          </w:p>
        </w:tc>
        <w:tc>
          <w:tcPr>
            <w:tcW w:type="dxa" w:w="4536"/>
            <w:tcMar>
              <w:top w:w="75" w:type="dxa"/>
              <w:left w:w="75" w:type="dxa"/>
              <w:bottom w:w="75" w:type="dxa"/>
              <w:right w:w="75" w:type="dxa"/>
            </w:tcMar>
          </w:tcPr>
          <w:p>
            <w:pPr>
              <w:spacing w:after="0" w:line="245" w:lineRule="auto"/>
            </w:pPr>
            <w:r>
              <w:rPr>
                <w:sz w:val="19"/>
              </w:rPr>
              <w:t>Работы, векторы, версии расчётов, заявки и мнения</w:t>
            </w:r>
          </w:p>
        </w:tc>
      </w:tr>
      <w:tr>
        <w:trPr>
          <w:cantSplit/>
        </w:trPr>
        <w:tc>
          <w:tcPr>
            <w:tcW w:type="dxa" w:w="2333"/>
            <w:tcMar>
              <w:top w:w="75" w:type="dxa"/>
              <w:left w:w="75" w:type="dxa"/>
              <w:bottom w:w="75" w:type="dxa"/>
              <w:right w:w="75" w:type="dxa"/>
            </w:tcMar>
          </w:tcPr>
          <w:p>
            <w:pPr>
              <w:spacing w:after="0" w:line="245" w:lineRule="auto"/>
            </w:pPr>
            <w:r>
              <w:rPr>
                <w:sz w:val="19"/>
              </w:rPr>
              <w:t>Справка</w:t>
            </w:r>
          </w:p>
        </w:tc>
        <w:tc>
          <w:tcPr>
            <w:tcW w:type="dxa" w:w="3067"/>
            <w:tcMar>
              <w:top w:w="75" w:type="dxa"/>
              <w:left w:w="75" w:type="dxa"/>
              <w:bottom w:w="75" w:type="dxa"/>
              <w:right w:w="75" w:type="dxa"/>
            </w:tcMar>
          </w:tcPr>
          <w:p>
            <w:pPr>
              <w:spacing w:after="0" w:line="245" w:lineRule="auto"/>
            </w:pPr>
            <w:r>
              <w:rPr>
                <w:rFonts w:ascii="Courier New" w:hAnsi="Courier New"/>
                <w:sz w:val="19"/>
              </w:rPr>
              <w:t>help_content</w:t>
            </w:r>
            <w:r>
              <w:rPr>
                <w:sz w:val="19"/>
              </w:rPr>
              <w:t xml:space="preserve">, </w:t>
            </w:r>
            <w:r>
              <w:rPr>
                <w:rFonts w:ascii="Courier New" w:hAnsi="Courier New"/>
                <w:sz w:val="19"/>
              </w:rPr>
              <w:t>help_web</w:t>
            </w:r>
          </w:p>
        </w:tc>
        <w:tc>
          <w:tcPr>
            <w:tcW w:type="dxa" w:w="4536"/>
            <w:tcMar>
              <w:top w:w="75" w:type="dxa"/>
              <w:left w:w="75" w:type="dxa"/>
              <w:bottom w:w="75" w:type="dxa"/>
              <w:right w:w="75" w:type="dxa"/>
            </w:tcMar>
          </w:tcPr>
          <w:p>
            <w:pPr>
              <w:spacing w:after="0" w:line="245" w:lineRule="auto"/>
            </w:pPr>
            <w:r>
              <w:rPr>
                <w:sz w:val="19"/>
              </w:rPr>
              <w:t>Локальная документация и контекстные ссылки</w:t>
            </w:r>
          </w:p>
        </w:tc>
      </w:tr>
      <w:tr>
        <w:trPr>
          <w:cantSplit/>
        </w:trPr>
        <w:tc>
          <w:tcPr>
            <w:tcW w:type="dxa" w:w="2333"/>
            <w:tcMar>
              <w:top w:w="75" w:type="dxa"/>
              <w:left w:w="75" w:type="dxa"/>
              <w:bottom w:w="75" w:type="dxa"/>
              <w:right w:w="75" w:type="dxa"/>
            </w:tcMar>
          </w:tcPr>
          <w:p>
            <w:pPr>
              <w:spacing w:after="0" w:line="245" w:lineRule="auto"/>
            </w:pPr>
            <w:r>
              <w:rPr>
                <w:sz w:val="19"/>
              </w:rPr>
              <w:t>Внешний просмотр</w:t>
            </w:r>
          </w:p>
        </w:tc>
        <w:tc>
          <w:tcPr>
            <w:tcW w:type="dxa" w:w="3067"/>
            <w:tcMar>
              <w:top w:w="75" w:type="dxa"/>
              <w:left w:w="75" w:type="dxa"/>
              <w:bottom w:w="75" w:type="dxa"/>
              <w:right w:w="75" w:type="dxa"/>
            </w:tcMar>
          </w:tcPr>
          <w:p>
            <w:pPr>
              <w:spacing w:after="0" w:line="245" w:lineRule="auto"/>
            </w:pPr>
            <w:r>
              <w:rPr>
                <w:rFonts w:ascii="Courier New" w:hAnsi="Courier New"/>
                <w:sz w:val="19"/>
              </w:rPr>
              <w:t>demo_access</w:t>
            </w:r>
            <w:r>
              <w:rPr>
                <w:sz w:val="19"/>
              </w:rPr>
              <w:t xml:space="preserve">, </w:t>
            </w:r>
            <w:r>
              <w:rPr>
                <w:rFonts w:ascii="Courier New" w:hAnsi="Courier New"/>
                <w:sz w:val="19"/>
              </w:rPr>
              <w:t>demo_server</w:t>
            </w:r>
          </w:p>
        </w:tc>
        <w:tc>
          <w:tcPr>
            <w:tcW w:type="dxa" w:w="4536"/>
            <w:tcMar>
              <w:top w:w="75" w:type="dxa"/>
              <w:left w:w="75" w:type="dxa"/>
              <w:bottom w:w="75" w:type="dxa"/>
              <w:right w:w="75" w:type="dxa"/>
            </w:tcMar>
          </w:tcPr>
          <w:p>
            <w:pPr>
              <w:spacing w:after="0" w:line="245" w:lineRule="auto"/>
            </w:pPr>
            <w:r>
              <w:rPr>
                <w:sz w:val="19"/>
              </w:rPr>
              <w:t>Отдельный режим чтения с обязательным паролем</w:t>
            </w:r>
          </w:p>
        </w:tc>
      </w:tr>
    </w:tbl>
    <w:p>
      <w:pPr>
        <w:spacing w:after="0" w:before="0" w:line="60" w:lineRule="exact"/>
      </w:pPr>
      <w:r>
        <w:rPr>
          <w:sz w:val="6"/>
        </w:rPr>
      </w:r>
    </w:p>
    <w:p>
      <w:pPr>
        <w:pStyle w:val="Heading2"/>
      </w:pPr>
      <w:r>
        <w:t>Основные сущности</w:t>
      </w:r>
    </w:p>
    <w:p>
      <w:r>
        <w:rPr>
          <w:b/>
        </w:rPr>
        <w:t>Исследование и план</w:t>
      </w:r>
      <w:r>
        <w:t xml:space="preserve"> связывают исходный запрос с его версиями. </w:t>
      </w:r>
      <w:r>
        <w:rPr>
          <w:b/>
        </w:rPr>
        <w:t>Задание</w:t>
      </w:r>
      <w:r>
        <w:t xml:space="preserve"> хранит состояние выполнения и результаты этапов. </w:t>
      </w:r>
      <w:r>
        <w:rPr>
          <w:b/>
        </w:rPr>
        <w:t>Работа</w:t>
      </w:r>
      <w:r>
        <w:t xml:space="preserve"> сохраняет каноническую запись и происхождение. </w:t>
      </w:r>
      <w:r>
        <w:rPr>
          <w:b/>
        </w:rPr>
        <w:t>Прогон анализа</w:t>
      </w:r>
      <w:r>
        <w:t xml:space="preserve"> фиксирует вариант алгоритма, параметры и результат. </w:t>
      </w:r>
      <w:r>
        <w:rPr>
          <w:b/>
        </w:rPr>
        <w:t>Кандидат</w:t>
      </w:r>
      <w:r>
        <w:t xml:space="preserve"> представляет тему и состав входящих работ.</w:t>
      </w:r>
    </w:p>
    <w:p>
      <w:r>
        <w:rPr>
          <w:b/>
        </w:rPr>
        <w:t>Наблюдение внешнего источника</w:t>
      </w:r>
      <w:r>
        <w:t xml:space="preserve"> содержит ответ на конкретную фразу, дату и статус. </w:t>
      </w:r>
      <w:r>
        <w:rPr>
          <w:b/>
        </w:rPr>
        <w:t>Привязка к кандидату</w:t>
      </w:r>
      <w:r>
        <w:t xml:space="preserve"> отличает релевантный материал от фона. </w:t>
      </w:r>
      <w:r>
        <w:rPr>
          <w:b/>
        </w:rPr>
        <w:t>Экспертная заявка</w:t>
      </w:r>
      <w:r>
        <w:t xml:space="preserve"> фиксирует переданный состав. </w:t>
      </w:r>
      <w:r>
        <w:rPr>
          <w:b/>
        </w:rPr>
        <w:t>Мнение эксперта</w:t>
      </w:r>
      <w:r>
        <w:t xml:space="preserve"> и </w:t>
      </w:r>
      <w:r>
        <w:rPr>
          <w:b/>
        </w:rPr>
        <w:t>заметка PESTLE</w:t>
      </w:r>
      <w:r>
        <w:t xml:space="preserve"> сохраняются отдельно от автоматического расчёта. </w:t>
      </w:r>
      <w:r>
        <w:rPr>
          <w:b/>
        </w:rPr>
        <w:t>Публичная запись</w:t>
      </w:r>
      <w:r>
        <w:t xml:space="preserve"> имеет собственный источник и год отчёта.</w:t>
      </w:r>
    </w:p>
    <w:p>
      <w:pPr>
        <w:pStyle w:val="Heading2"/>
      </w:pPr>
      <w:r>
        <w:t>Что обеспечивает воспроизводимость</w:t>
      </w:r>
    </w:p>
    <w:p>
      <w:r>
        <w:t>Используются идентификаторы исследования и прогона, хеш состава карточки, сведения о модели и версии правил. Мнения привязываются к сохранённой версии, а не только к похожему названию. При передаче экспертной заявки неизменный ключ повторной отправки защищает от дубля при двойном нажатии или повторе после сетевого сбоя.</w:t>
      </w:r>
    </w:p>
    <w:p>
      <w:r>
        <w:t>Сохранённые научные данные не перезаписываются только потому, что обновилась новость. Для повторения расчёта нужен тот же корпус, конфигурация и модель. Повторный живой запрос к внешней базе может дать другой результат. Исходный ZIP содержит код и небольшие справочники, но не полную историю и не рабочую базу.</w:t>
      </w:r>
    </w:p>
    <w:p>
      <w:pPr>
        <w:pStyle w:val="Heading1"/>
        <w:pageBreakBefore/>
      </w:pPr>
      <w:r>
        <w:t>13 Установка переносимого комплекта</w:t>
      </w:r>
      <w:bookmarkStart w:id="14" w:name="s14"/>
      <w:bookmarkEnd w:id="14"/>
    </w:p>
    <w:p>
      <w:pPr>
        <w:pStyle w:val="Heading2"/>
      </w:pPr>
      <w:r>
        <w:t>Что требуется</w:t>
      </w:r>
    </w:p>
    <w:p>
      <w:r>
        <w:t>Нужны Docker Engine или Docker Desktop с Compose v2, доступ к реестрам образов и пакетам, свободное место для образов, данных и моделей. Отдельный домен для локальной работы не нужен. Профиль задаёт обработчику 2 CPU и лимит 6 ГБ памяти. Это настройки контейнера, а не доказанный минимум ресурсов для любого корпуса.</w:t>
      </w:r>
    </w:p>
    <w:p>
      <w:pPr>
        <w:pStyle w:val="Heading2"/>
      </w:pPr>
      <w:r>
        <w:t>Первый запуск</w:t>
      </w:r>
    </w:p>
    <w:p>
      <w:r>
        <w:t xml:space="preserve">Скачайте исходники из </w:t>
      </w:r>
      <w:hyperlink r:id="rId19">
        <w:r>
          <w:rPr>
            <w:color w:val="245AA8"/>
          </w:rPr>
          <w:t>репозитория Horizon</w:t>
        </w:r>
      </w:hyperlink>
      <w:r>
        <w:t xml:space="preserve"> через Code → Download ZIP или git clone. Откройте папку с compose.yaml. Подробный порядок установки находится в </w:t>
      </w:r>
      <w:hyperlink r:id="rId20">
        <w:r>
          <w:rPr>
            <w:color w:val="245AA8"/>
          </w:rPr>
          <w:t>README</w:t>
        </w:r>
      </w:hyperlink>
      <w:r>
        <w:t>. Не заменяйте папку существующей установки без резервной копии.</w:t>
      </w:r>
    </w:p>
    <w:p>
      <w:r>
        <w:t>Если собственного .env ещё нет, создайте его из .env.repository.example и задайте случайный буквенно-цифровой POSTGRES_PASSWORD длиной не менее 24 символов. На macOS или Linux:</w:t>
      </w:r>
    </w:p>
    <w:p>
      <w:pPr>
        <w:pStyle w:val="Command"/>
      </w:pPr>
      <w:r>
        <w:t>cp .env.repository.example .env</w:t>
      </w:r>
    </w:p>
    <w:p>
      <w:r>
        <w:t xml:space="preserve">Если установлен Python 3, вместо копирования можно выполнить помощник. Он создаст случайный пароль и не перезапишет существующий </w:t>
      </w:r>
      <w:r>
        <w:rPr>
          <w:rFonts w:ascii="Courier New" w:hAnsi="Courier New"/>
          <w:sz w:val="18"/>
        </w:rPr>
        <w:t>.env</w:t>
      </w:r>
      <w:r>
        <w:t>:</w:t>
      </w:r>
    </w:p>
    <w:p>
      <w:pPr>
        <w:pStyle w:val="Command"/>
      </w:pPr>
      <w:r>
        <w:t>python3 scripts/init_repository_env.py</w:t>
      </w:r>
    </w:p>
    <w:p>
      <w:r>
        <w:t xml:space="preserve">На Windows можно скопировать файл через проводник или </w:t>
      </w:r>
      <w:r>
        <w:rPr>
          <w:rFonts w:ascii="Courier New" w:hAnsi="Courier New"/>
          <w:sz w:val="18"/>
        </w:rPr>
        <w:t>Copy-Item</w:t>
      </w:r>
      <w:r>
        <w:t>. Затем для всех платформ:</w:t>
      </w:r>
    </w:p>
    <w:p>
      <w:pPr>
        <w:pStyle w:val="Command"/>
      </w:pPr>
      <w:r>
        <w:t>docker compose --env-file .env up --build -d</w:t>
      </w:r>
    </w:p>
    <w:p>
      <w:pPr>
        <w:pStyle w:val="Command"/>
      </w:pPr>
      <w:r>
        <w:t>docker compose ps</w:t>
      </w:r>
    </w:p>
    <w:p>
      <w:r>
        <w:t xml:space="preserve">Откройте </w:t>
      </w:r>
      <w:hyperlink r:id="rId12">
        <w:r>
          <w:rPr>
            <w:color w:val="2456A0"/>
          </w:rPr>
          <w:t>рабочее место на порту 8085</w:t>
        </w:r>
      </w:hyperlink>
      <w:r>
        <w:t xml:space="preserve">, </w:t>
      </w:r>
      <w:hyperlink r:id="rId13">
        <w:r>
          <w:rPr>
            <w:color w:val="2456A0"/>
          </w:rPr>
          <w:t>публичные подборки</w:t>
        </w:r>
      </w:hyperlink>
      <w:r>
        <w:t xml:space="preserve"> или </w:t>
      </w:r>
      <w:hyperlink r:id="rId14">
        <w:r>
          <w:rPr>
            <w:color w:val="2456A0"/>
          </w:rPr>
          <w:t>справку</w:t>
        </w:r>
      </w:hyperlink>
      <w:r>
        <w:t>. При первом запуске создаётся отдельная PostgreSQL и применяются миграции. База старой установки не подключается автоматически.</w:t>
      </w:r>
    </w:p>
    <w:p>
      <w:pPr>
        <w:pStyle w:val="Heading2"/>
      </w:pPr>
      <w:r>
        <w:t>Что проверить после запуска</w:t>
      </w:r>
    </w:p>
    <w:p>
      <w:r>
        <w:t xml:space="preserve">Убедитесь, что приложение и база работают, обработчик не завершается с ошибкой, справка и публичный каталог открываются. Затем отдельно проверьте небольшой живой научный запрос. Успешный </w:t>
      </w:r>
      <w:r>
        <w:rPr>
          <w:rFonts w:ascii="Courier New" w:hAnsi="Courier New"/>
          <w:sz w:val="18"/>
        </w:rPr>
        <w:t>/health</w:t>
      </w:r>
      <w:r>
        <w:t xml:space="preserve"> возвращает версию сервиса, но не доказывает готовность моделей, внешних API или научного анализа.</w:t>
      </w:r>
    </w:p>
    <w:p>
      <w:r>
        <w:t>Первое использование SPECTER2 загружает веса отдельно. Репозиторий не содержит полного arXiv, прежних поисков, экспертных заявок и клиентских наборов. Начальный запуск с пустой базой не воспроизводит старую демонстрационную выдачу.</w:t>
      </w:r>
    </w:p>
    <w:p>
      <w:pPr>
        <w:pStyle w:val="Heading1"/>
        <w:pageBreakBefore/>
      </w:pPr>
      <w:r>
        <w:t>14 Настройка источников и моделей</w:t>
      </w:r>
      <w:bookmarkStart w:id="15" w:name="s15"/>
      <w:bookmarkEnd w:id="15"/>
    </w:p>
    <w:p>
      <w:r>
        <w:t xml:space="preserve">Секреты задаются в </w:t>
      </w:r>
      <w:r>
        <w:rPr>
          <w:rFonts w:ascii="Courier New" w:hAnsi="Courier New"/>
          <w:sz w:val="18"/>
        </w:rPr>
        <w:t>.env</w:t>
      </w:r>
      <w:r>
        <w:t xml:space="preserve"> и не передаются в репозиторий. Значения </w:t>
      </w:r>
      <w:r>
        <w:rPr>
          <w:rFonts w:ascii="Courier New" w:hAnsi="Courier New"/>
          <w:sz w:val="18"/>
        </w:rPr>
        <w:t>.env.repository.example</w:t>
      </w:r>
      <w:r>
        <w:t xml:space="preserve"> являются шаблоном. Пустой ключ означает отсутствие настройки, а не гарантированный бесплатный доступ к API.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16"/>
      </w:tblGrid>
      <w:tr>
        <w:trPr>
          <w:cantSplit/>
          <w:tblHeader/>
        </w:trPr>
        <w:tc>
          <w:tcPr>
            <w:tcW w:type="dxa" w:w="4320"/>
            <w:tcMar>
              <w:top w:w="75" w:type="dxa"/>
              <w:left w:w="75" w:type="dxa"/>
              <w:bottom w:w="75" w:type="dxa"/>
              <w:right w:w="75" w:type="dxa"/>
            </w:tcMar>
            <w:shd w:fill="EEF1F5"/>
          </w:tcPr>
          <w:p>
            <w:pPr>
              <w:spacing w:after="0" w:line="245" w:lineRule="auto"/>
            </w:pPr>
            <w:r>
              <w:rPr>
                <w:b/>
                <w:sz w:val="19"/>
              </w:rPr>
              <w:t>Параметр</w:t>
            </w:r>
          </w:p>
        </w:tc>
        <w:tc>
          <w:tcPr>
            <w:tcW w:type="dxa" w:w="5616"/>
            <w:tcMar>
              <w:top w:w="75" w:type="dxa"/>
              <w:left w:w="75" w:type="dxa"/>
              <w:bottom w:w="75" w:type="dxa"/>
              <w:right w:w="75" w:type="dxa"/>
            </w:tcMar>
            <w:shd w:fill="EEF1F5"/>
          </w:tcPr>
          <w:p>
            <w:pPr>
              <w:spacing w:after="0" w:line="245" w:lineRule="auto"/>
            </w:pPr>
            <w:r>
              <w:rPr>
                <w:b/>
                <w:sz w:val="19"/>
              </w:rPr>
              <w:t>Назначение</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HORIZON_PROJECT_NAME</w:t>
            </w:r>
            <w:r>
              <w:rPr>
                <w:sz w:val="19"/>
              </w:rPr>
              <w:t xml:space="preserve">, </w:t>
            </w:r>
            <w:r>
              <w:rPr>
                <w:rFonts w:ascii="Courier New" w:hAnsi="Courier New"/>
                <w:sz w:val="19"/>
              </w:rPr>
              <w:t>HORIZON_PORT</w:t>
            </w:r>
          </w:p>
        </w:tc>
        <w:tc>
          <w:tcPr>
            <w:tcW w:type="dxa" w:w="5616"/>
            <w:tcMar>
              <w:top w:w="75" w:type="dxa"/>
              <w:left w:w="75" w:type="dxa"/>
              <w:bottom w:w="75" w:type="dxa"/>
              <w:right w:w="75" w:type="dxa"/>
            </w:tcMar>
          </w:tcPr>
          <w:p>
            <w:pPr>
              <w:spacing w:after="0" w:line="245" w:lineRule="auto"/>
            </w:pPr>
            <w:r>
              <w:rPr>
                <w:sz w:val="19"/>
              </w:rPr>
              <w:t>Имя отдельного Compose-проекта и локальный порт. По умолчанию horizon и 8085</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POSTGRES_USER</w:t>
            </w:r>
            <w:r>
              <w:rPr>
                <w:sz w:val="19"/>
              </w:rPr>
              <w:t xml:space="preserve">, </w:t>
            </w:r>
            <w:r>
              <w:rPr>
                <w:rFonts w:ascii="Courier New" w:hAnsi="Courier New"/>
                <w:sz w:val="19"/>
              </w:rPr>
              <w:t>POSTGRES_DB</w:t>
            </w:r>
            <w:r>
              <w:rPr>
                <w:sz w:val="19"/>
              </w:rPr>
              <w:t xml:space="preserve">, </w:t>
            </w:r>
            <w:r>
              <w:rPr>
                <w:rFonts w:ascii="Courier New" w:hAnsi="Courier New"/>
                <w:sz w:val="19"/>
              </w:rPr>
              <w:t>POSTGRES_PASSWORD</w:t>
            </w:r>
          </w:p>
        </w:tc>
        <w:tc>
          <w:tcPr>
            <w:tcW w:type="dxa" w:w="5616"/>
            <w:tcMar>
              <w:top w:w="75" w:type="dxa"/>
              <w:left w:w="75" w:type="dxa"/>
              <w:bottom w:w="75" w:type="dxa"/>
              <w:right w:w="75" w:type="dxa"/>
            </w:tcMar>
          </w:tcPr>
          <w:p>
            <w:pPr>
              <w:spacing w:after="0" w:line="245" w:lineRule="auto"/>
            </w:pPr>
            <w:r>
              <w:rPr>
                <w:sz w:val="19"/>
              </w:rPr>
              <w:t>Доступ к новой базе. В профиле PostgreSQL не публикуется наружу</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OPENALEX_API_KEY</w:t>
            </w:r>
            <w:r>
              <w:rPr>
                <w:sz w:val="19"/>
              </w:rPr>
              <w:t xml:space="preserve">, </w:t>
            </w:r>
            <w:r>
              <w:rPr>
                <w:rFonts w:ascii="Courier New" w:hAnsi="Courier New"/>
                <w:sz w:val="19"/>
              </w:rPr>
              <w:t>OPENALEX_MAILTO</w:t>
            </w:r>
            <w:r>
              <w:rPr>
                <w:sz w:val="19"/>
              </w:rPr>
              <w:t xml:space="preserve">, </w:t>
            </w:r>
            <w:r>
              <w:rPr>
                <w:rFonts w:ascii="Courier New" w:hAnsi="Courier New"/>
                <w:sz w:val="19"/>
              </w:rPr>
              <w:t>SAIA_MAILTO</w:t>
            </w:r>
          </w:p>
        </w:tc>
        <w:tc>
          <w:tcPr>
            <w:tcW w:type="dxa" w:w="5616"/>
            <w:tcMar>
              <w:top w:w="75" w:type="dxa"/>
              <w:left w:w="75" w:type="dxa"/>
              <w:bottom w:w="75" w:type="dxa"/>
              <w:right w:w="75" w:type="dxa"/>
            </w:tcMar>
          </w:tcPr>
          <w:p>
            <w:pPr>
              <w:spacing w:after="0" w:line="245" w:lineRule="auto"/>
            </w:pPr>
            <w:r>
              <w:rPr>
                <w:sz w:val="19"/>
              </w:rPr>
              <w:t>Настройка научных обращений и контактных данных</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EPO_OPS_CONSUMER_KEY</w:t>
            </w:r>
            <w:r>
              <w:rPr>
                <w:sz w:val="19"/>
              </w:rPr>
              <w:t xml:space="preserve">, </w:t>
            </w:r>
            <w:r>
              <w:rPr>
                <w:rFonts w:ascii="Courier New" w:hAnsi="Courier New"/>
                <w:sz w:val="19"/>
              </w:rPr>
              <w:t>EPO_OPS_CONSUMER_SECRET</w:t>
            </w:r>
          </w:p>
        </w:tc>
        <w:tc>
          <w:tcPr>
            <w:tcW w:type="dxa" w:w="5616"/>
            <w:tcMar>
              <w:top w:w="75" w:type="dxa"/>
              <w:left w:w="75" w:type="dxa"/>
              <w:bottom w:w="75" w:type="dxa"/>
              <w:right w:w="75" w:type="dxa"/>
            </w:tcMar>
          </w:tcPr>
          <w:p>
            <w:pPr>
              <w:spacing w:after="0" w:line="245" w:lineRule="auto"/>
            </w:pPr>
            <w:r>
              <w:rPr>
                <w:sz w:val="19"/>
              </w:rPr>
              <w:t>Доступ к EPO OPS</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LENS_API_TOKEN</w:t>
            </w:r>
          </w:p>
        </w:tc>
        <w:tc>
          <w:tcPr>
            <w:tcW w:type="dxa" w:w="5616"/>
            <w:tcMar>
              <w:top w:w="75" w:type="dxa"/>
              <w:left w:w="75" w:type="dxa"/>
              <w:bottom w:w="75" w:type="dxa"/>
              <w:right w:w="75" w:type="dxa"/>
            </w:tcMar>
          </w:tcPr>
          <w:p>
            <w:pPr>
              <w:spacing w:after="0" w:line="245" w:lineRule="auto"/>
            </w:pPr>
            <w:r>
              <w:rPr>
                <w:sz w:val="19"/>
              </w:rPr>
              <w:t>Доступ к Lens Patents</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EVENT_REGISTRY_API_KEY</w:t>
            </w:r>
          </w:p>
        </w:tc>
        <w:tc>
          <w:tcPr>
            <w:tcW w:type="dxa" w:w="5616"/>
            <w:tcMar>
              <w:top w:w="75" w:type="dxa"/>
              <w:left w:w="75" w:type="dxa"/>
              <w:bottom w:w="75" w:type="dxa"/>
              <w:right w:w="75" w:type="dxa"/>
            </w:tcMar>
          </w:tcPr>
          <w:p>
            <w:pPr>
              <w:spacing w:after="0" w:line="245" w:lineRule="auto"/>
            </w:pPr>
            <w:r>
              <w:rPr>
                <w:sz w:val="19"/>
              </w:rPr>
              <w:t>Доступ к Event Registry</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MEDIACLOUD_API_KEY</w:t>
            </w:r>
            <w:r>
              <w:rPr>
                <w:sz w:val="19"/>
              </w:rPr>
              <w:t xml:space="preserve">, </w:t>
            </w:r>
            <w:r>
              <w:rPr>
                <w:rFonts w:ascii="Courier New" w:hAnsi="Courier New"/>
                <w:sz w:val="19"/>
              </w:rPr>
              <w:t>MEDIACLOUD_COLLECTION_IDS</w:t>
            </w:r>
          </w:p>
        </w:tc>
        <w:tc>
          <w:tcPr>
            <w:tcW w:type="dxa" w:w="5616"/>
            <w:tcMar>
              <w:top w:w="75" w:type="dxa"/>
              <w:left w:w="75" w:type="dxa"/>
              <w:bottom w:w="75" w:type="dxa"/>
              <w:right w:w="75" w:type="dxa"/>
            </w:tcMar>
          </w:tcPr>
          <w:p>
            <w:pPr>
              <w:spacing w:after="0" w:line="245" w:lineRule="auto"/>
            </w:pPr>
            <w:r>
              <w:rPr>
                <w:sz w:val="19"/>
              </w:rPr>
              <w:t>Доступ и коллекции Media Cloud</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SEMANTIC_SCHOLAR_API_KEY</w:t>
            </w:r>
          </w:p>
        </w:tc>
        <w:tc>
          <w:tcPr>
            <w:tcW w:type="dxa" w:w="5616"/>
            <w:tcMar>
              <w:top w:w="75" w:type="dxa"/>
              <w:left w:w="75" w:type="dxa"/>
              <w:bottom w:w="75" w:type="dxa"/>
              <w:right w:w="75" w:type="dxa"/>
            </w:tcMar>
          </w:tcPr>
          <w:p>
            <w:pPr>
              <w:spacing w:after="0" w:line="245" w:lineRule="auto"/>
            </w:pPr>
            <w:r>
              <w:rPr>
                <w:sz w:val="19"/>
              </w:rPr>
              <w:t>Ключ дополнительного научного канала</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SAIA_EMBEDDING_PROVIDER</w:t>
            </w:r>
            <w:r>
              <w:rPr>
                <w:sz w:val="19"/>
              </w:rPr>
              <w:t xml:space="preserve">, </w:t>
            </w:r>
            <w:r>
              <w:rPr>
                <w:rFonts w:ascii="Courier New" w:hAnsi="Courier New"/>
                <w:sz w:val="19"/>
              </w:rPr>
              <w:t>SAIA_EMBEDDING_MODEL</w:t>
            </w:r>
          </w:p>
        </w:tc>
        <w:tc>
          <w:tcPr>
            <w:tcW w:type="dxa" w:w="5616"/>
            <w:tcMar>
              <w:top w:w="75" w:type="dxa"/>
              <w:left w:w="75" w:type="dxa"/>
              <w:bottom w:w="75" w:type="dxa"/>
              <w:right w:w="75" w:type="dxa"/>
            </w:tcMar>
          </w:tcPr>
          <w:p>
            <w:pPr>
              <w:spacing w:after="0" w:line="245" w:lineRule="auto"/>
            </w:pPr>
            <w:r>
              <w:rPr>
                <w:sz w:val="19"/>
              </w:rPr>
              <w:t>Выбор поставщика и модели научных векторов</w:t>
            </w:r>
          </w:p>
        </w:tc>
      </w:tr>
      <w:tr>
        <w:trPr>
          <w:cantSplit/>
        </w:trPr>
        <w:tc>
          <w:tcPr>
            <w:tcW w:type="dxa" w:w="4320"/>
            <w:tcMar>
              <w:top w:w="75" w:type="dxa"/>
              <w:left w:w="75" w:type="dxa"/>
              <w:bottom w:w="75" w:type="dxa"/>
              <w:right w:w="75" w:type="dxa"/>
            </w:tcMar>
          </w:tcPr>
          <w:p>
            <w:pPr>
              <w:spacing w:after="0" w:line="245" w:lineRule="auto"/>
            </w:pPr>
            <w:r>
              <w:rPr>
                <w:rFonts w:ascii="Courier New" w:hAnsi="Courier New"/>
                <w:sz w:val="19"/>
              </w:rPr>
              <w:t>SAIA_OLLAMA_URL</w:t>
            </w:r>
          </w:p>
        </w:tc>
        <w:tc>
          <w:tcPr>
            <w:tcW w:type="dxa" w:w="5616"/>
            <w:tcMar>
              <w:top w:w="75" w:type="dxa"/>
              <w:left w:w="75" w:type="dxa"/>
              <w:bottom w:w="75" w:type="dxa"/>
              <w:right w:w="75" w:type="dxa"/>
            </w:tcMar>
          </w:tcPr>
          <w:p>
            <w:pPr>
              <w:spacing w:after="0" w:line="245" w:lineRule="auto"/>
            </w:pPr>
            <w:r>
              <w:rPr>
                <w:sz w:val="19"/>
              </w:rPr>
              <w:t>Адрес локального Ollama. В Compose предусмотрен адрес хоста</w:t>
            </w:r>
          </w:p>
        </w:tc>
      </w:tr>
    </w:tbl>
    <w:p>
      <w:pPr>
        <w:spacing w:after="0" w:before="0" w:line="60" w:lineRule="exact"/>
      </w:pPr>
      <w:r>
        <w:rPr>
          <w:sz w:val="6"/>
        </w:rPr>
      </w:r>
    </w:p>
    <w:p>
      <w:pPr>
        <w:pStyle w:val="Heading2"/>
      </w:pPr>
      <w:r>
        <w:t>Два разных вида моделей</w:t>
      </w:r>
    </w:p>
    <w:p>
      <w:r>
        <w:rPr>
          <w:b/>
        </w:rPr>
        <w:t>Научная модель</w:t>
      </w:r>
      <w:r>
        <w:t xml:space="preserve"> строит векторы публикаций. По умолчанию переносимый профиль использует SPECTER2. Альтернативный вариант через Ollama предусматривает, например, bge-m3 после отдельной загрузки. Переключение влияет на расстояния и группировку. Перед сравнением нужно заново подготовить векторы и выполнить проверки. Смешивать несовместимые векторы в одном расчёте нельзя.</w:t>
      </w:r>
    </w:p>
    <w:p>
      <w:r>
        <w:rPr>
          <w:b/>
        </w:rPr>
        <w:t>Модель пояснения</w:t>
      </w:r>
      <w:r>
        <w:t xml:space="preserve"> готовит русский текст внутри карточки. Её выбирают в интерфейсе. Этот выбор не меняет научную модель и не пересчитывает рейтинг. Ollama не является отдельным сервисом в базовом Compose и должен быть настроен отдельно, если нужны пояснения.</w:t>
      </w:r>
    </w:p>
    <w:p>
      <w:r>
        <w:t xml:space="preserve">Текущий переносимый профиль использует CPU. </w:t>
      </w:r>
      <w:r>
        <w:rPr>
          <w:rFonts w:ascii="Courier New" w:hAnsi="Courier New"/>
          <w:sz w:val="18"/>
        </w:rPr>
        <w:t>SAIA_TORCH_NUM_THREADS</w:t>
      </w:r>
      <w:r>
        <w:t xml:space="preserve"> и </w:t>
      </w:r>
      <w:r>
        <w:rPr>
          <w:rFonts w:ascii="Courier New" w:hAnsi="Courier New"/>
          <w:sz w:val="18"/>
        </w:rPr>
        <w:t>SAIA_EMBEDDING_BATCH</w:t>
      </w:r>
      <w:r>
        <w:t xml:space="preserve"> ограничивают нагрузку. Первый запуск модели требует сетевого доступа. Отключение сети до загрузки весов не превращает новый комплект в готовую автономную установку.</w:t>
      </w:r>
    </w:p>
    <w:p>
      <w:r>
        <w:t xml:space="preserve">Пошаговая настройка ключей и проверка источников приведены в </w:t>
      </w:r>
      <w:hyperlink r:id="rId21">
        <w:r>
          <w:rPr>
            <w:color w:val="245AA8"/>
          </w:rPr>
          <w:t>SOURCE_SETUP</w:t>
        </w:r>
      </w:hyperlink>
      <w:r>
        <w:t>. После изменения проверьте статус, дату и содержание ответа. Наличие ключа не подтверждает релевантность найденных материалов.</w:t>
      </w:r>
    </w:p>
    <w:p>
      <w:pPr>
        <w:pStyle w:val="Heading1"/>
        <w:pageBreakBefore/>
      </w:pPr>
      <w:r>
        <w:t>15 Эксплуатация и сохранность данных</w:t>
      </w:r>
      <w:bookmarkStart w:id="16" w:name="s16"/>
      <w:bookmarkEnd w:id="16"/>
    </w:p>
    <w:p>
      <w:pPr>
        <w:pStyle w:val="Heading2"/>
      </w:pPr>
      <w:r>
        <w:t>Ежедневные действия</w:t>
      </w:r>
    </w:p>
    <w:p>
      <w:r>
        <w:t>Запускайте команды в корне нужного Compose-проекта, рядом с compose.yaml и своим .env. Настройки и данные разных установок не смешивайте.</w:t>
      </w:r>
    </w:p>
    <w:p>
      <w:pPr>
        <w:pStyle w:val="Command"/>
      </w:pPr>
      <w:r>
        <w:t>docker compose ps</w:t>
      </w:r>
    </w:p>
    <w:p>
      <w:pPr>
        <w:pStyle w:val="Command"/>
      </w:pPr>
      <w:r>
        <w:t>docker compose logs --tail=100 app worker</w:t>
      </w:r>
    </w:p>
    <w:p>
      <w:pPr>
        <w:pStyle w:val="Command"/>
      </w:pPr>
      <w:r>
        <w:t>docker compose stop</w:t>
      </w:r>
    </w:p>
    <w:p>
      <w:pPr>
        <w:pStyle w:val="Command"/>
      </w:pPr>
      <w:r>
        <w:t>docker compose start</w:t>
      </w:r>
    </w:p>
    <w:p>
      <w:pPr/>
      <w:r>
        <w:t>Чтобы применить новые ключи API из .env, пересоздайте приложение и обработчик:</w:t>
      </w:r>
    </w:p>
    <w:p>
      <w:pPr>
        <w:pStyle w:val="Command"/>
        <w:spacing w:after="100"/>
      </w:pPr>
      <w:r>
        <w:t>docker compose --env-file .env up -d --force-recreate app worker</w:t>
      </w:r>
    </w:p>
    <w:p>
      <w:pPr/>
      <w:r>
        <w:t>restart не применяет новые переменные. Пароль существующей базы меняется отдельно в PostgreSQL и .env, а не только в файле. Тома удалять не нужно.</w:t>
      </w:r>
    </w:p>
    <w:p>
      <w:r>
        <w:rPr>
          <w:rFonts w:ascii="Courier New" w:hAnsi="Courier New"/>
          <w:sz w:val="18"/>
        </w:rPr>
        <w:t>stop</w:t>
      </w:r>
      <w:r>
        <w:t xml:space="preserve"> останавливает сервисы и сохраняет данные. </w:t>
      </w:r>
      <w:r>
        <w:rPr>
          <w:b/>
        </w:rPr>
        <w:t>Не выполняйте docker compose down -v, если нужно сохранить базу и результаты.</w:t>
      </w:r>
      <w:r>
        <w:t xml:space="preserve"> Эта команда удаляет тома выбранного проекта.</w:t>
      </w:r>
    </w:p>
    <w:p>
      <w:pPr>
        <w:pStyle w:val="Heading2"/>
      </w:pPr>
      <w:r>
        <w:t>Где хранятся данные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Том</w:t>
            </w:r>
          </w:p>
        </w:tc>
        <w:tc>
          <w:tcPr>
            <w:tcW w:type="dxa" w:w="3067"/>
            <w:tcMar>
              <w:top w:w="75" w:type="dxa"/>
              <w:left w:w="75" w:type="dxa"/>
              <w:bottom w:w="75" w:type="dxa"/>
              <w:right w:w="75" w:type="dxa"/>
            </w:tcMar>
            <w:shd w:fill="EEF1F5"/>
          </w:tcPr>
          <w:p>
            <w:pPr>
              <w:spacing w:after="0" w:line="245" w:lineRule="auto"/>
            </w:pPr>
            <w:r>
              <w:rPr>
                <w:b/>
                <w:sz w:val="19"/>
              </w:rPr>
              <w:t>Содержание</w:t>
            </w:r>
          </w:p>
        </w:tc>
        <w:tc>
          <w:tcPr>
            <w:tcW w:type="dxa" w:w="4536"/>
            <w:tcMar>
              <w:top w:w="75" w:type="dxa"/>
              <w:left w:w="75" w:type="dxa"/>
              <w:bottom w:w="75" w:type="dxa"/>
              <w:right w:w="75" w:type="dxa"/>
            </w:tcMar>
            <w:shd w:fill="EEF1F5"/>
          </w:tcPr>
          <w:p>
            <w:pPr>
              <w:spacing w:after="0" w:line="245" w:lineRule="auto"/>
            </w:pPr>
            <w:r>
              <w:rPr>
                <w:b/>
                <w:sz w:val="19"/>
              </w:rPr>
              <w:t>Значение для восстановления</w:t>
            </w:r>
          </w:p>
        </w:tc>
      </w:tr>
      <w:tr>
        <w:trPr>
          <w:cantSplit/>
        </w:trPr>
        <w:tc>
          <w:tcPr>
            <w:tcW w:type="dxa" w:w="2333"/>
            <w:tcMar>
              <w:top w:w="75" w:type="dxa"/>
              <w:left w:w="75" w:type="dxa"/>
              <w:bottom w:w="75" w:type="dxa"/>
              <w:right w:w="75" w:type="dxa"/>
            </w:tcMar>
          </w:tcPr>
          <w:p>
            <w:pPr>
              <w:spacing w:after="0" w:line="245" w:lineRule="auto"/>
            </w:pPr>
            <w:r>
              <w:rPr>
                <w:rFonts w:ascii="Courier New" w:hAnsi="Courier New"/>
                <w:sz w:val="19"/>
              </w:rPr>
              <w:t>db_data</w:t>
            </w:r>
          </w:p>
        </w:tc>
        <w:tc>
          <w:tcPr>
            <w:tcW w:type="dxa" w:w="3067"/>
            <w:tcMar>
              <w:top w:w="75" w:type="dxa"/>
              <w:left w:w="75" w:type="dxa"/>
              <w:bottom w:w="75" w:type="dxa"/>
              <w:right w:w="75" w:type="dxa"/>
            </w:tcMar>
          </w:tcPr>
          <w:p>
            <w:pPr>
              <w:spacing w:after="0" w:line="245" w:lineRule="auto"/>
            </w:pPr>
            <w:r>
              <w:rPr>
                <w:sz w:val="19"/>
              </w:rPr>
              <w:t>PostgreSQL</w:t>
            </w:r>
          </w:p>
        </w:tc>
        <w:tc>
          <w:tcPr>
            <w:tcW w:type="dxa" w:w="4536"/>
            <w:tcMar>
              <w:top w:w="75" w:type="dxa"/>
              <w:left w:w="75" w:type="dxa"/>
              <w:bottom w:w="75" w:type="dxa"/>
              <w:right w:w="75" w:type="dxa"/>
            </w:tcMar>
          </w:tcPr>
          <w:p>
            <w:pPr>
              <w:spacing w:after="0" w:line="245" w:lineRule="auto"/>
            </w:pPr>
            <w:r>
              <w:rPr>
                <w:sz w:val="19"/>
              </w:rPr>
              <w:t>Работы, задания, расчёты, мнения и пользовательские записи</w:t>
            </w:r>
          </w:p>
        </w:tc>
      </w:tr>
      <w:tr>
        <w:trPr>
          <w:cantSplit/>
        </w:trPr>
        <w:tc>
          <w:tcPr>
            <w:tcW w:type="dxa" w:w="2333"/>
            <w:tcMar>
              <w:top w:w="75" w:type="dxa"/>
              <w:left w:w="75" w:type="dxa"/>
              <w:bottom w:w="75" w:type="dxa"/>
              <w:right w:w="75" w:type="dxa"/>
            </w:tcMar>
          </w:tcPr>
          <w:p>
            <w:pPr>
              <w:spacing w:after="0" w:line="245" w:lineRule="auto"/>
            </w:pPr>
            <w:r>
              <w:rPr>
                <w:rFonts w:ascii="Courier New" w:hAnsi="Courier New"/>
                <w:sz w:val="19"/>
              </w:rPr>
              <w:t>raw_data</w:t>
            </w:r>
          </w:p>
        </w:tc>
        <w:tc>
          <w:tcPr>
            <w:tcW w:type="dxa" w:w="3067"/>
            <w:tcMar>
              <w:top w:w="75" w:type="dxa"/>
              <w:left w:w="75" w:type="dxa"/>
              <w:bottom w:w="75" w:type="dxa"/>
              <w:right w:w="75" w:type="dxa"/>
            </w:tcMar>
          </w:tcPr>
          <w:p>
            <w:pPr>
              <w:spacing w:after="0" w:line="245" w:lineRule="auto"/>
            </w:pPr>
            <w:r>
              <w:rPr>
                <w:sz w:val="19"/>
              </w:rPr>
              <w:t>Исходные и промежуточные наборы сбора</w:t>
            </w:r>
          </w:p>
        </w:tc>
        <w:tc>
          <w:tcPr>
            <w:tcW w:type="dxa" w:w="4536"/>
            <w:tcMar>
              <w:top w:w="75" w:type="dxa"/>
              <w:left w:w="75" w:type="dxa"/>
              <w:bottom w:w="75" w:type="dxa"/>
              <w:right w:w="75" w:type="dxa"/>
            </w:tcMar>
          </w:tcPr>
          <w:p>
            <w:pPr>
              <w:spacing w:after="0" w:line="245" w:lineRule="auto"/>
            </w:pPr>
            <w:r>
              <w:rPr>
                <w:sz w:val="19"/>
              </w:rPr>
              <w:t>Основания для повторного анализа</w:t>
            </w:r>
          </w:p>
        </w:tc>
      </w:tr>
      <w:tr>
        <w:trPr>
          <w:cantSplit/>
        </w:trPr>
        <w:tc>
          <w:tcPr>
            <w:tcW w:type="dxa" w:w="2333"/>
            <w:tcMar>
              <w:top w:w="75" w:type="dxa"/>
              <w:left w:w="75" w:type="dxa"/>
              <w:bottom w:w="75" w:type="dxa"/>
              <w:right w:w="75" w:type="dxa"/>
            </w:tcMar>
          </w:tcPr>
          <w:p>
            <w:pPr>
              <w:spacing w:after="0" w:line="245" w:lineRule="auto"/>
            </w:pPr>
            <w:r>
              <w:rPr>
                <w:rFonts w:ascii="Courier New" w:hAnsi="Courier New"/>
                <w:sz w:val="19"/>
              </w:rPr>
              <w:t>processed_data</w:t>
            </w:r>
          </w:p>
        </w:tc>
        <w:tc>
          <w:tcPr>
            <w:tcW w:type="dxa" w:w="3067"/>
            <w:tcMar>
              <w:top w:w="75" w:type="dxa"/>
              <w:left w:w="75" w:type="dxa"/>
              <w:bottom w:w="75" w:type="dxa"/>
              <w:right w:w="75" w:type="dxa"/>
            </w:tcMar>
          </w:tcPr>
          <w:p>
            <w:pPr>
              <w:spacing w:after="0" w:line="245" w:lineRule="auto"/>
            </w:pPr>
            <w:r>
              <w:rPr>
                <w:sz w:val="19"/>
              </w:rPr>
              <w:t>Подготовленные данные</w:t>
            </w:r>
          </w:p>
        </w:tc>
        <w:tc>
          <w:tcPr>
            <w:tcW w:type="dxa" w:w="4536"/>
            <w:tcMar>
              <w:top w:w="75" w:type="dxa"/>
              <w:left w:w="75" w:type="dxa"/>
              <w:bottom w:w="75" w:type="dxa"/>
              <w:right w:w="75" w:type="dxa"/>
            </w:tcMar>
          </w:tcPr>
          <w:p>
            <w:pPr>
              <w:spacing w:after="0" w:line="245" w:lineRule="auto"/>
            </w:pPr>
            <w:r>
              <w:rPr>
                <w:sz w:val="19"/>
              </w:rPr>
              <w:t>Возможность повторить обработку без полного пересбора</w:t>
            </w:r>
          </w:p>
        </w:tc>
      </w:tr>
      <w:tr>
        <w:trPr>
          <w:cantSplit/>
        </w:trPr>
        <w:tc>
          <w:tcPr>
            <w:tcW w:type="dxa" w:w="2333"/>
            <w:tcMar>
              <w:top w:w="75" w:type="dxa"/>
              <w:left w:w="75" w:type="dxa"/>
              <w:bottom w:w="75" w:type="dxa"/>
              <w:right w:w="75" w:type="dxa"/>
            </w:tcMar>
          </w:tcPr>
          <w:p>
            <w:pPr>
              <w:spacing w:after="0" w:line="245" w:lineRule="auto"/>
            </w:pPr>
            <w:r>
              <w:rPr>
                <w:rFonts w:ascii="Courier New" w:hAnsi="Courier New"/>
                <w:sz w:val="19"/>
              </w:rPr>
              <w:t>generated_reports</w:t>
            </w:r>
          </w:p>
        </w:tc>
        <w:tc>
          <w:tcPr>
            <w:tcW w:type="dxa" w:w="3067"/>
            <w:tcMar>
              <w:top w:w="75" w:type="dxa"/>
              <w:left w:w="75" w:type="dxa"/>
              <w:bottom w:w="75" w:type="dxa"/>
              <w:right w:w="75" w:type="dxa"/>
            </w:tcMar>
          </w:tcPr>
          <w:p>
            <w:pPr>
              <w:spacing w:after="0" w:line="245" w:lineRule="auto"/>
            </w:pPr>
            <w:r>
              <w:rPr>
                <w:sz w:val="19"/>
              </w:rPr>
              <w:t>Созданные отчёты</w:t>
            </w:r>
          </w:p>
        </w:tc>
        <w:tc>
          <w:tcPr>
            <w:tcW w:type="dxa" w:w="4536"/>
            <w:tcMar>
              <w:top w:w="75" w:type="dxa"/>
              <w:left w:w="75" w:type="dxa"/>
              <w:bottom w:w="75" w:type="dxa"/>
              <w:right w:w="75" w:type="dxa"/>
            </w:tcMar>
          </w:tcPr>
          <w:p>
            <w:pPr>
              <w:spacing w:after="0" w:line="245" w:lineRule="auto"/>
            </w:pPr>
            <w:r>
              <w:rPr>
                <w:sz w:val="19"/>
              </w:rPr>
              <w:t>Сохранённые результаты выгрузки</w:t>
            </w:r>
          </w:p>
        </w:tc>
      </w:tr>
      <w:tr>
        <w:trPr>
          <w:cantSplit/>
        </w:trPr>
        <w:tc>
          <w:tcPr>
            <w:tcW w:type="dxa" w:w="2333"/>
            <w:tcMar>
              <w:top w:w="75" w:type="dxa"/>
              <w:left w:w="75" w:type="dxa"/>
              <w:bottom w:w="75" w:type="dxa"/>
              <w:right w:w="75" w:type="dxa"/>
            </w:tcMar>
          </w:tcPr>
          <w:p>
            <w:pPr>
              <w:spacing w:after="0" w:line="245" w:lineRule="auto"/>
            </w:pPr>
            <w:r>
              <w:rPr>
                <w:rFonts w:ascii="Courier New" w:hAnsi="Courier New"/>
                <w:sz w:val="19"/>
              </w:rPr>
              <w:t>hf_models</w:t>
            </w:r>
          </w:p>
        </w:tc>
        <w:tc>
          <w:tcPr>
            <w:tcW w:type="dxa" w:w="3067"/>
            <w:tcMar>
              <w:top w:w="75" w:type="dxa"/>
              <w:left w:w="75" w:type="dxa"/>
              <w:bottom w:w="75" w:type="dxa"/>
              <w:right w:w="75" w:type="dxa"/>
            </w:tcMar>
          </w:tcPr>
          <w:p>
            <w:pPr>
              <w:spacing w:after="0" w:line="245" w:lineRule="auto"/>
            </w:pPr>
            <w:r>
              <w:rPr>
                <w:sz w:val="19"/>
              </w:rPr>
              <w:t>Кэш весов моделей</w:t>
            </w:r>
          </w:p>
        </w:tc>
        <w:tc>
          <w:tcPr>
            <w:tcW w:type="dxa" w:w="4536"/>
            <w:tcMar>
              <w:top w:w="75" w:type="dxa"/>
              <w:left w:w="75" w:type="dxa"/>
              <w:bottom w:w="75" w:type="dxa"/>
              <w:right w:w="75" w:type="dxa"/>
            </w:tcMar>
          </w:tcPr>
          <w:p>
            <w:pPr>
              <w:spacing w:after="0" w:line="245" w:lineRule="auto"/>
            </w:pPr>
            <w:r>
              <w:rPr>
                <w:sz w:val="19"/>
              </w:rPr>
              <w:t>Повторное использование без новой загрузки</w:t>
            </w:r>
          </w:p>
        </w:tc>
      </w:tr>
    </w:tbl>
    <w:p>
      <w:pPr>
        <w:spacing w:after="0" w:before="0" w:line="60" w:lineRule="exact"/>
      </w:pPr>
      <w:r>
        <w:rPr>
          <w:sz w:val="6"/>
        </w:rPr>
      </w:r>
    </w:p>
    <w:p>
      <w:r>
        <w:t>Имена Docker-томов включают имя Compose-проекта. Смена имени проекта создаст другой набор томов. Это может выглядеть как исчезновение результатов, хотя прежние данные остались отдельно.</w:t>
      </w:r>
    </w:p>
    <w:p>
      <w:pPr>
        <w:pStyle w:val="Heading2"/>
      </w:pPr>
      <w:r>
        <w:t>Рекомендуемый порядок резервирования</w:t>
      </w:r>
    </w:p>
    <w:p>
      <w:r>
        <w:t>Готового проверенного мастера резервирования нет. Перед обновлением остановите новые задания, дождитесь безопасной точки обработчика и создайте согласованную копию PostgreSQL штатными средствами. Обычное копирование каталога работающей базы не обеспечивает согласованность.</w:t>
      </w:r>
    </w:p>
    <w:p>
      <w:r>
        <w:t>Сохраните исходные наборы, конфигурации и сведения о моделях. Храните .env отдельно в защищённом месте. Проверьте восстановление схемы, карточек, заявок и файлов в изолированном проекте. Архив программы или HTML-карточка не заменяют такую проверку.</w:t>
      </w:r>
    </w:p>
    <w:p>
      <w:pPr>
        <w:pStyle w:val="Heading2"/>
      </w:pPr>
      <w:r>
        <w:t>Обновление</w:t>
      </w:r>
    </w:p>
    <w:p>
      <w:r>
        <w:t>Сохраните код и резервную копию. На копии базы проверьте обновление, миграции, старые результаты и новый запрос. Автоматический откат схемы не заявляется. Не обновляйте рабочую базу без способа восстановления.</w:t>
      </w:r>
    </w:p>
    <w:p>
      <w:pPr>
        <w:pStyle w:val="Heading1"/>
        <w:pageBreakBefore/>
      </w:pPr>
      <w:r>
        <w:t>16 Безопасность и внешний доступ</w:t>
      </w:r>
      <w:bookmarkStart w:id="17" w:name="s17"/>
      <w:bookmarkEnd w:id="17"/>
    </w:p>
    <w:p>
      <w:r>
        <w:t>Рабочий API не имеет полноценной аутентификации пользователей, ролей экспертов, изоляции данных и индивидуальных лимитов запросов. Пароль PostgreSQL не защищает HTTP-интерфейс. Локальные порты рабочей установки нельзя напрямую открывать в интернет.</w:t>
      </w:r>
    </w:p>
    <w:p>
      <w:pPr>
        <w:pStyle w:val="Heading2"/>
      </w:pPr>
      <w:r>
        <w:t>Отдельный демонстрационный режим</w:t>
      </w:r>
    </w:p>
    <w:p>
      <w:r>
        <w:t xml:space="preserve">Подготовлен запуск </w:t>
      </w:r>
      <w:r>
        <w:rPr>
          <w:rFonts w:ascii="Courier New" w:hAnsi="Courier New"/>
          <w:sz w:val="18"/>
        </w:rPr>
        <w:t>python -m saia.demo_server</w:t>
      </w:r>
      <w:r>
        <w:t xml:space="preserve"> на порту 8083. Он требует непустой </w:t>
      </w:r>
      <w:r>
        <w:rPr>
          <w:rFonts w:ascii="Courier New" w:hAnsi="Courier New"/>
          <w:sz w:val="18"/>
        </w:rPr>
        <w:t>HORIZON_DEMO_USER</w:t>
      </w:r>
      <w:r>
        <w:t xml:space="preserve"> и пароль </w:t>
      </w:r>
      <w:r>
        <w:rPr>
          <w:rFonts w:ascii="Courier New" w:hAnsi="Courier New"/>
          <w:sz w:val="18"/>
        </w:rPr>
        <w:t>HORIZON_DEMO_PASSWORD</w:t>
      </w:r>
      <w:r>
        <w:t xml:space="preserve"> длиной от 16 до 1024 символов. По умолчанию доступны только разрешённые страницы и публичный каталог. Новый поиск и запись запрещены. Документация API закрыта. Это показ прототипа, а не полноценное удалённое рабочее место.</w:t>
      </w:r>
    </w:p>
    <w:p>
      <w:r>
        <w:t>Для демонстрации сохранённых результатов нужна явно выбранная отдельная демонстрационная база. Она не обезличивается автоматически. Следует использовать базу без клиентских и личных данных и отдельную роль только для чтения. Общий пароль не заменяет индивидуальные учётные записи.</w:t>
      </w:r>
    </w:p>
    <w:p>
      <w:pPr>
        <w:pStyle w:val="Heading2"/>
      </w:pPr>
      <w:r>
        <w:t>Варианты без покупки домена</w:t>
      </w:r>
    </w:p>
    <w:p>
      <w:r>
        <w:rPr>
          <w:b/>
        </w:rPr>
        <w:t>Временный показ.</w:t>
      </w:r>
      <w:r>
        <w:t xml:space="preserve"> Cloudflare Quick Tunnel выдаёт случайный HTTPS-адрес в зоне trycloudflare.com. Компьютер, приложение и туннель должны оставаться включёнными. Подключать следует отдельный защищённый режим просмотра, а не рабочий порт. Условия и ограничения проверяются по </w:t>
      </w:r>
      <w:hyperlink r:id="rId15">
        <w:r>
          <w:rPr>
            <w:color w:val="2456A0"/>
          </w:rPr>
          <w:t>официальной инструкции Cloudflare</w:t>
        </w:r>
      </w:hyperlink>
      <w:r>
        <w:t>.</w:t>
      </w:r>
    </w:p>
    <w:p>
      <w:r>
        <w:rPr>
          <w:b/>
        </w:rPr>
        <w:t>Альтернатива.</w:t>
      </w:r>
      <w:r>
        <w:t xml:space="preserve"> ngrok предоставляет назначенный аккаунту адрес и HTTPS. Есть ограничения трафика и запросов. См. </w:t>
      </w:r>
      <w:hyperlink r:id="rId16">
        <w:r>
          <w:rPr>
            <w:color w:val="2456A0"/>
          </w:rPr>
          <w:t>условия бесплатного режима ngrok</w:t>
        </w:r>
      </w:hyperlink>
      <w:r>
        <w:t>.</w:t>
      </w:r>
    </w:p>
    <w:p>
      <w:r>
        <w:rPr>
          <w:b/>
        </w:rPr>
        <w:t>Постоянное размещение.</w:t>
      </w:r>
      <w:r>
        <w:t xml:space="preserve"> Railway предоставляет адрес сервиса без собственного домена. Для Horizon потребуются приложение, обработчик, PostgreSQL/pgvector и постоянное хранение. Это отдельное развёртывание и расходы на ресурсы, не обещание бесплатного хостинга. См. </w:t>
      </w:r>
      <w:hyperlink r:id="rId17">
        <w:r>
          <w:rPr>
            <w:color w:val="2456A0"/>
          </w:rPr>
          <w:t>публичную сеть Railway</w:t>
        </w:r>
      </w:hyperlink>
      <w:r>
        <w:t>.</w:t>
      </w:r>
    </w:p>
    <w:p>
      <w:pPr>
        <w:pStyle w:val="Heading2"/>
      </w:pPr>
      <w:r>
        <w:t>Условия внешнего использования</w:t>
      </w:r>
    </w:p>
    <w:p>
      <w:pPr>
        <w:pStyle w:val="ListBullet"/>
      </w:pPr>
      <w:r>
        <w:t>Для публичного поиска добавить персональную аутентификацию, роли, защиту записи, лимиты заданий и API, мониторинг и проверенное восстановление.</w:t>
      </w:r>
    </w:p>
    <w:p>
      <w:pPr>
        <w:pStyle w:val="ListBullet"/>
      </w:pPr>
      <w:r>
        <w:t>Проверить условия данных и фирменного оформления. Прототип не является официальным сервисом Газпромбанка. Его публикация не означает одобрения или поддержки со стороны банка.</w:t>
      </w:r>
    </w:p>
    <w:p>
      <w:pPr>
        <w:pStyle w:val="ListBullet"/>
      </w:pPr>
      <w:r>
        <w:t>Выбор лицензии собственного кода отложен. Публичная доступность исходников сама по себе не предоставляет открытую лицензию.</w:t>
      </w:r>
    </w:p>
    <w:p>
      <w:pPr>
        <w:pStyle w:val="ListBullet"/>
      </w:pPr>
      <w:r>
        <w:t xml:space="preserve">Не загружать </w:t>
      </w:r>
      <w:r>
        <w:rPr>
          <w:rFonts w:ascii="Courier New" w:hAnsi="Courier New"/>
          <w:sz w:val="18"/>
        </w:rPr>
        <w:t>.env</w:t>
      </w:r>
      <w:r>
        <w:t>, рабочую базу, клиентские наборы, корпуса и старую историю Git.</w:t>
      </w:r>
    </w:p>
    <w:p>
      <w:r>
        <w:t xml:space="preserve">Код опубликован в </w:t>
      </w:r>
      <w:hyperlink r:id="rId19">
        <w:r>
          <w:rPr>
            <w:color w:val="245AA8"/>
          </w:rPr>
          <w:t>remark13/horizon</w:t>
        </w:r>
      </w:hyperlink>
      <w:r>
        <w:t xml:space="preserve"> (контрольный коммит 4f9c242). Публичный работающий стенд не открыт. Размещение исходников на GitHub не запускает приложение в интернете.</w:t>
      </w:r>
    </w:p>
    <w:p>
      <w:pPr>
        <w:pStyle w:val="Heading1"/>
        <w:pageBreakBefore/>
      </w:pPr>
      <w:r>
        <w:t>17 Решение типичных проблем</w:t>
      </w:r>
      <w:bookmarkStart w:id="18" w:name="s18"/>
      <w:bookmarkEnd w:id="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Ситуация</w:t>
            </w:r>
          </w:p>
        </w:tc>
        <w:tc>
          <w:tcPr>
            <w:tcW w:type="dxa" w:w="3067"/>
            <w:tcMar>
              <w:top w:w="75" w:type="dxa"/>
              <w:left w:w="75" w:type="dxa"/>
              <w:bottom w:w="75" w:type="dxa"/>
              <w:right w:w="75" w:type="dxa"/>
            </w:tcMar>
            <w:shd w:fill="EEF1F5"/>
          </w:tcPr>
          <w:p>
            <w:pPr>
              <w:spacing w:after="0" w:line="245" w:lineRule="auto"/>
            </w:pPr>
            <w:r>
              <w:rPr>
                <w:b/>
                <w:sz w:val="19"/>
              </w:rPr>
              <w:t>Возможная причина</w:t>
            </w:r>
          </w:p>
        </w:tc>
        <w:tc>
          <w:tcPr>
            <w:tcW w:type="dxa" w:w="4536"/>
            <w:tcMar>
              <w:top w:w="75" w:type="dxa"/>
              <w:left w:w="75" w:type="dxa"/>
              <w:bottom w:w="75" w:type="dxa"/>
              <w:right w:w="75" w:type="dxa"/>
            </w:tcMar>
            <w:shd w:fill="EEF1F5"/>
          </w:tcPr>
          <w:p>
            <w:pPr>
              <w:spacing w:after="0" w:line="245" w:lineRule="auto"/>
            </w:pPr>
            <w:r>
              <w:rPr>
                <w:b/>
                <w:sz w:val="19"/>
              </w:rPr>
              <w:t>Что сделать</w:t>
            </w:r>
          </w:p>
        </w:tc>
      </w:tr>
      <w:tr>
        <w:trPr>
          <w:cantSplit/>
        </w:trPr>
        <w:tc>
          <w:tcPr>
            <w:tcW w:type="dxa" w:w="2333"/>
            <w:tcMar>
              <w:top w:w="75" w:type="dxa"/>
              <w:left w:w="75" w:type="dxa"/>
              <w:bottom w:w="75" w:type="dxa"/>
              <w:right w:w="75" w:type="dxa"/>
            </w:tcMar>
          </w:tcPr>
          <w:p>
            <w:pPr>
              <w:spacing w:after="0" w:line="245" w:lineRule="auto"/>
            </w:pPr>
            <w:r>
              <w:rPr>
                <w:sz w:val="19"/>
              </w:rPr>
              <w:t>Поиск идёт более 20 минут</w:t>
            </w:r>
          </w:p>
        </w:tc>
        <w:tc>
          <w:tcPr>
            <w:tcW w:type="dxa" w:w="3067"/>
            <w:tcMar>
              <w:top w:w="75" w:type="dxa"/>
              <w:left w:w="75" w:type="dxa"/>
              <w:bottom w:w="75" w:type="dxa"/>
              <w:right w:w="75" w:type="dxa"/>
            </w:tcMar>
          </w:tcPr>
          <w:p>
            <w:pPr>
              <w:spacing w:after="0" w:line="245" w:lineRule="auto"/>
            </w:pPr>
            <w:r>
              <w:rPr>
                <w:sz w:val="19"/>
              </w:rPr>
              <w:t>Истёк период ожидания браузера, задача ещё работает</w:t>
            </w:r>
          </w:p>
        </w:tc>
        <w:tc>
          <w:tcPr>
            <w:tcW w:type="dxa" w:w="4536"/>
            <w:tcMar>
              <w:top w:w="75" w:type="dxa"/>
              <w:left w:w="75" w:type="dxa"/>
              <w:bottom w:w="75" w:type="dxa"/>
              <w:right w:w="75" w:type="dxa"/>
            </w:tcMar>
          </w:tcPr>
          <w:p>
            <w:pPr>
              <w:spacing w:after="0" w:line="245" w:lineRule="auto"/>
            </w:pPr>
            <w:r>
              <w:rPr>
                <w:sz w:val="19"/>
              </w:rPr>
              <w:t>Продолжить ожидание. Проверить обработчик и этап задания, не создавать дубли без необходимости</w:t>
            </w:r>
          </w:p>
        </w:tc>
      </w:tr>
      <w:tr>
        <w:trPr>
          <w:cantSplit/>
        </w:trPr>
        <w:tc>
          <w:tcPr>
            <w:tcW w:type="dxa" w:w="2333"/>
            <w:tcMar>
              <w:top w:w="75" w:type="dxa"/>
              <w:left w:w="75" w:type="dxa"/>
              <w:bottom w:w="75" w:type="dxa"/>
              <w:right w:w="75" w:type="dxa"/>
            </w:tcMar>
          </w:tcPr>
          <w:p>
            <w:pPr>
              <w:spacing w:after="0" w:line="245" w:lineRule="auto"/>
            </w:pPr>
            <w:r>
              <w:rPr>
                <w:sz w:val="19"/>
              </w:rPr>
              <w:t>Публикаций нет</w:t>
            </w:r>
          </w:p>
        </w:tc>
        <w:tc>
          <w:tcPr>
            <w:tcW w:type="dxa" w:w="3067"/>
            <w:tcMar>
              <w:top w:w="75" w:type="dxa"/>
              <w:left w:w="75" w:type="dxa"/>
              <w:bottom w:w="75" w:type="dxa"/>
              <w:right w:w="75" w:type="dxa"/>
            </w:tcMar>
          </w:tcPr>
          <w:p>
            <w:pPr>
              <w:spacing w:after="0" w:line="245" w:lineRule="auto"/>
            </w:pPr>
            <w:r>
              <w:rPr>
                <w:sz w:val="19"/>
              </w:rPr>
              <w:t>Формулировка, недоступность API, ключ или лимит</w:t>
            </w:r>
          </w:p>
        </w:tc>
        <w:tc>
          <w:tcPr>
            <w:tcW w:type="dxa" w:w="4536"/>
            <w:tcMar>
              <w:top w:w="75" w:type="dxa"/>
              <w:left w:w="75" w:type="dxa"/>
              <w:bottom w:w="75" w:type="dxa"/>
              <w:right w:w="75" w:type="dxa"/>
            </w:tcMar>
          </w:tcPr>
          <w:p>
            <w:pPr>
              <w:spacing w:after="0" w:line="245" w:lineRule="auto"/>
            </w:pPr>
            <w:r>
              <w:rPr>
                <w:sz w:val="19"/>
              </w:rPr>
              <w:t>Отличить ошибку от пустого ответа. Уточнить научный термин, попробовать английский вариант</w:t>
            </w:r>
          </w:p>
        </w:tc>
      </w:tr>
      <w:tr>
        <w:trPr>
          <w:cantSplit/>
        </w:trPr>
        <w:tc>
          <w:tcPr>
            <w:tcW w:type="dxa" w:w="2333"/>
            <w:tcMar>
              <w:top w:w="75" w:type="dxa"/>
              <w:left w:w="75" w:type="dxa"/>
              <w:bottom w:w="75" w:type="dxa"/>
              <w:right w:w="75" w:type="dxa"/>
            </w:tcMar>
          </w:tcPr>
          <w:p>
            <w:pPr>
              <w:spacing w:after="0" w:line="245" w:lineRule="auto"/>
            </w:pPr>
            <w:r>
              <w:rPr>
                <w:sz w:val="19"/>
              </w:rPr>
              <w:t>Работы есть, карточек нет</w:t>
            </w:r>
          </w:p>
        </w:tc>
        <w:tc>
          <w:tcPr>
            <w:tcW w:type="dxa" w:w="3067"/>
            <w:tcMar>
              <w:top w:w="75" w:type="dxa"/>
              <w:left w:w="75" w:type="dxa"/>
              <w:bottom w:w="75" w:type="dxa"/>
              <w:right w:w="75" w:type="dxa"/>
            </w:tcMar>
          </w:tcPr>
          <w:p>
            <w:pPr>
              <w:spacing w:after="0" w:line="245" w:lineRule="auto"/>
            </w:pPr>
            <w:r>
              <w:rPr>
                <w:sz w:val="19"/>
              </w:rPr>
              <w:t>Материалы не прошли фильтрацию или не образовали самостоятельные темы</w:t>
            </w:r>
          </w:p>
        </w:tc>
        <w:tc>
          <w:tcPr>
            <w:tcW w:type="dxa" w:w="4536"/>
            <w:tcMar>
              <w:top w:w="75" w:type="dxa"/>
              <w:left w:w="75" w:type="dxa"/>
              <w:bottom w:w="75" w:type="dxa"/>
              <w:right w:w="75" w:type="dxa"/>
            </w:tcMar>
          </w:tcPr>
          <w:p>
            <w:pPr>
              <w:spacing w:after="0" w:line="245" w:lineRule="auto"/>
            </w:pPr>
            <w:r>
              <w:rPr>
                <w:sz w:val="19"/>
              </w:rPr>
              <w:t>Посмотреть публикации, сузить или уточнить направление</w:t>
            </w:r>
          </w:p>
        </w:tc>
      </w:tr>
      <w:tr>
        <w:trPr>
          <w:cantSplit/>
        </w:trPr>
        <w:tc>
          <w:tcPr>
            <w:tcW w:type="dxa" w:w="2333"/>
            <w:tcMar>
              <w:top w:w="75" w:type="dxa"/>
              <w:left w:w="75" w:type="dxa"/>
              <w:bottom w:w="75" w:type="dxa"/>
              <w:right w:w="75" w:type="dxa"/>
            </w:tcMar>
          </w:tcPr>
          <w:p>
            <w:pPr>
              <w:spacing w:after="0" w:line="245" w:lineRule="auto"/>
            </w:pPr>
            <w:r>
              <w:rPr>
                <w:sz w:val="19"/>
              </w:rPr>
              <w:t>Рост доли не установлен</w:t>
            </w:r>
          </w:p>
        </w:tc>
        <w:tc>
          <w:tcPr>
            <w:tcW w:type="dxa" w:w="3067"/>
            <w:tcMar>
              <w:top w:w="75" w:type="dxa"/>
              <w:left w:w="75" w:type="dxa"/>
              <w:bottom w:w="75" w:type="dxa"/>
              <w:right w:w="75" w:type="dxa"/>
            </w:tcMar>
          </w:tcPr>
          <w:p>
            <w:pPr>
              <w:spacing w:after="0" w:line="245" w:lineRule="auto"/>
            </w:pPr>
            <w:r>
              <w:rPr>
                <w:sz w:val="19"/>
              </w:rPr>
              <w:t>Нет сопоставимого знаменателя или полных периодов</w:t>
            </w:r>
          </w:p>
        </w:tc>
        <w:tc>
          <w:tcPr>
            <w:tcW w:type="dxa" w:w="4536"/>
            <w:tcMar>
              <w:top w:w="75" w:type="dxa"/>
              <w:left w:w="75" w:type="dxa"/>
              <w:bottom w:w="75" w:type="dxa"/>
              <w:right w:w="75" w:type="dxa"/>
            </w:tcMar>
          </w:tcPr>
          <w:p>
            <w:pPr>
              <w:spacing w:after="0" w:line="245" w:lineRule="auto"/>
            </w:pPr>
            <w:r>
              <w:rPr>
                <w:sz w:val="19"/>
              </w:rPr>
              <w:t>Использовать наблюдаемые количества с оговоркой. Не подставлять выдуманную динамику</w:t>
            </w:r>
          </w:p>
        </w:tc>
      </w:tr>
      <w:tr>
        <w:trPr>
          <w:cantSplit/>
        </w:trPr>
        <w:tc>
          <w:tcPr>
            <w:tcW w:type="dxa" w:w="2333"/>
            <w:tcMar>
              <w:top w:w="75" w:type="dxa"/>
              <w:left w:w="75" w:type="dxa"/>
              <w:bottom w:w="75" w:type="dxa"/>
              <w:right w:w="75" w:type="dxa"/>
            </w:tcMar>
          </w:tcPr>
          <w:p>
            <w:pPr>
              <w:spacing w:after="0" w:line="245" w:lineRule="auto"/>
            </w:pPr>
            <w:r>
              <w:rPr>
                <w:sz w:val="19"/>
              </w:rPr>
              <w:t>Внешняя ось пуста</w:t>
            </w:r>
          </w:p>
        </w:tc>
        <w:tc>
          <w:tcPr>
            <w:tcW w:type="dxa" w:w="3067"/>
            <w:tcMar>
              <w:top w:w="75" w:type="dxa"/>
              <w:left w:w="75" w:type="dxa"/>
              <w:bottom w:w="75" w:type="dxa"/>
              <w:right w:w="75" w:type="dxa"/>
            </w:tcMar>
          </w:tcPr>
          <w:p>
            <w:pPr>
              <w:spacing w:after="0" w:line="245" w:lineRule="auto"/>
            </w:pPr>
            <w:r>
              <w:rPr>
                <w:sz w:val="19"/>
              </w:rPr>
              <w:t>Источник не ответил либо нет подходящих датированных материалов</w:t>
            </w:r>
          </w:p>
        </w:tc>
        <w:tc>
          <w:tcPr>
            <w:tcW w:type="dxa" w:w="4536"/>
            <w:tcMar>
              <w:top w:w="75" w:type="dxa"/>
              <w:left w:w="75" w:type="dxa"/>
              <w:bottom w:w="75" w:type="dxa"/>
              <w:right w:w="75" w:type="dxa"/>
            </w:tcMar>
          </w:tcPr>
          <w:p>
            <w:pPr>
              <w:spacing w:after="0" w:line="245" w:lineRule="auto"/>
            </w:pPr>
            <w:r>
              <w:rPr>
                <w:sz w:val="19"/>
              </w:rPr>
              <w:t>Проверить статус и последнее обращение, собрать материалы из другого канала</w:t>
            </w:r>
          </w:p>
        </w:tc>
      </w:tr>
      <w:tr>
        <w:trPr>
          <w:cantSplit/>
        </w:trPr>
        <w:tc>
          <w:tcPr>
            <w:tcW w:type="dxa" w:w="2333"/>
            <w:tcMar>
              <w:top w:w="75" w:type="dxa"/>
              <w:left w:w="75" w:type="dxa"/>
              <w:bottom w:w="75" w:type="dxa"/>
              <w:right w:w="75" w:type="dxa"/>
            </w:tcMar>
          </w:tcPr>
          <w:p>
            <w:pPr>
              <w:spacing w:after="0" w:line="245" w:lineRule="auto"/>
            </w:pPr>
            <w:r>
              <w:rPr>
                <w:sz w:val="19"/>
              </w:rPr>
              <w:t>Балл изменился</w:t>
            </w:r>
          </w:p>
        </w:tc>
        <w:tc>
          <w:tcPr>
            <w:tcW w:type="dxa" w:w="3067"/>
            <w:tcMar>
              <w:top w:w="75" w:type="dxa"/>
              <w:left w:w="75" w:type="dxa"/>
              <w:bottom w:w="75" w:type="dxa"/>
              <w:right w:w="75" w:type="dxa"/>
            </w:tcMar>
          </w:tcPr>
          <w:p>
            <w:pPr>
              <w:spacing w:after="0" w:line="245" w:lineRule="auto"/>
            </w:pPr>
            <w:r>
              <w:rPr>
                <w:sz w:val="19"/>
              </w:rPr>
              <w:t>Обновились внешние основания или дата расчёта</w:t>
            </w:r>
          </w:p>
        </w:tc>
        <w:tc>
          <w:tcPr>
            <w:tcW w:type="dxa" w:w="4536"/>
            <w:tcMar>
              <w:top w:w="75" w:type="dxa"/>
              <w:left w:w="75" w:type="dxa"/>
              <w:bottom w:w="75" w:type="dxa"/>
              <w:right w:w="75" w:type="dxa"/>
            </w:tcMar>
          </w:tcPr>
          <w:p>
            <w:pPr>
              <w:spacing w:after="0" w:line="245" w:lineRule="auto"/>
            </w:pPr>
            <w:r>
              <w:rPr>
                <w:sz w:val="19"/>
              </w:rPr>
              <w:t>Сравнить фактические вклады, состав и версию результата</w:t>
            </w:r>
          </w:p>
        </w:tc>
      </w:tr>
      <w:tr>
        <w:trPr>
          <w:cantSplit/>
        </w:trPr>
        <w:tc>
          <w:tcPr>
            <w:tcW w:type="dxa" w:w="2333"/>
            <w:tcMar>
              <w:top w:w="75" w:type="dxa"/>
              <w:left w:w="75" w:type="dxa"/>
              <w:bottom w:w="75" w:type="dxa"/>
              <w:right w:w="75" w:type="dxa"/>
            </w:tcMar>
          </w:tcPr>
          <w:p>
            <w:pPr>
              <w:spacing w:after="0" w:line="245" w:lineRule="auto"/>
            </w:pPr>
            <w:r>
              <w:rPr>
                <w:sz w:val="19"/>
              </w:rPr>
              <w:t>Модель не показана</w:t>
            </w:r>
          </w:p>
        </w:tc>
        <w:tc>
          <w:tcPr>
            <w:tcW w:type="dxa" w:w="3067"/>
            <w:tcMar>
              <w:top w:w="75" w:type="dxa"/>
              <w:left w:w="75" w:type="dxa"/>
              <w:bottom w:w="75" w:type="dxa"/>
              <w:right w:w="75" w:type="dxa"/>
            </w:tcMar>
          </w:tcPr>
          <w:p>
            <w:pPr>
              <w:spacing w:after="0" w:line="245" w:lineRule="auto"/>
            </w:pPr>
            <w:r>
              <w:rPr>
                <w:sz w:val="19"/>
              </w:rPr>
              <w:t>Ollama недоступна или модель не входит в разрешённый установленный перечень</w:t>
            </w:r>
          </w:p>
        </w:tc>
        <w:tc>
          <w:tcPr>
            <w:tcW w:type="dxa" w:w="4536"/>
            <w:tcMar>
              <w:top w:w="75" w:type="dxa"/>
              <w:left w:w="75" w:type="dxa"/>
              <w:bottom w:w="75" w:type="dxa"/>
              <w:right w:w="75" w:type="dxa"/>
            </w:tcMar>
          </w:tcPr>
          <w:p>
            <w:pPr>
              <w:spacing w:after="0" w:line="245" w:lineRule="auto"/>
            </w:pPr>
            <w:r>
              <w:rPr>
                <w:sz w:val="19"/>
              </w:rPr>
              <w:t>Проверить локальную службу и наличие модели. Научные материалы можно читать без пояснения</w:t>
            </w:r>
          </w:p>
        </w:tc>
      </w:tr>
      <w:tr>
        <w:trPr>
          <w:cantSplit/>
        </w:trPr>
        <w:tc>
          <w:tcPr>
            <w:tcW w:type="dxa" w:w="2333"/>
            <w:tcMar>
              <w:top w:w="75" w:type="dxa"/>
              <w:left w:w="75" w:type="dxa"/>
              <w:bottom w:w="75" w:type="dxa"/>
              <w:right w:w="75" w:type="dxa"/>
            </w:tcMar>
          </w:tcPr>
          <w:p>
            <w:pPr>
              <w:spacing w:after="0" w:line="245" w:lineRule="auto"/>
            </w:pPr>
            <w:r>
              <w:rPr>
                <w:sz w:val="19"/>
              </w:rPr>
              <w:t>Мнение не сохраняется</w:t>
            </w:r>
          </w:p>
        </w:tc>
        <w:tc>
          <w:tcPr>
            <w:tcW w:type="dxa" w:w="3067"/>
            <w:tcMar>
              <w:top w:w="75" w:type="dxa"/>
              <w:left w:w="75" w:type="dxa"/>
              <w:bottom w:w="75" w:type="dxa"/>
              <w:right w:w="75" w:type="dxa"/>
            </w:tcMar>
          </w:tcPr>
          <w:p>
            <w:pPr>
              <w:spacing w:after="0" w:line="245" w:lineRule="auto"/>
            </w:pPr>
            <w:r>
              <w:rPr>
                <w:sz w:val="19"/>
              </w:rPr>
              <w:t>Не заполнены поля или слишком короткое обоснование</w:t>
            </w:r>
          </w:p>
        </w:tc>
        <w:tc>
          <w:tcPr>
            <w:tcW w:type="dxa" w:w="4536"/>
            <w:tcMar>
              <w:top w:w="75" w:type="dxa"/>
              <w:left w:w="75" w:type="dxa"/>
              <w:bottom w:w="75" w:type="dxa"/>
              <w:right w:w="75" w:type="dxa"/>
            </w:tcMar>
          </w:tcPr>
          <w:p>
            <w:pPr>
              <w:spacing w:after="0" w:line="245" w:lineRule="auto"/>
            </w:pPr>
            <w:r>
              <w:rPr>
                <w:sz w:val="19"/>
              </w:rPr>
              <w:t>Ввести имя и обоснование не менее 20 символов, проверить ссылки</w:t>
            </w:r>
          </w:p>
        </w:tc>
      </w:tr>
      <w:tr>
        <w:trPr>
          <w:cantSplit/>
        </w:trPr>
        <w:tc>
          <w:tcPr>
            <w:tcW w:type="dxa" w:w="2333"/>
            <w:tcMar>
              <w:top w:w="75" w:type="dxa"/>
              <w:left w:w="75" w:type="dxa"/>
              <w:bottom w:w="75" w:type="dxa"/>
              <w:right w:w="75" w:type="dxa"/>
            </w:tcMar>
          </w:tcPr>
          <w:p>
            <w:pPr>
              <w:spacing w:after="0" w:line="245" w:lineRule="auto"/>
            </w:pPr>
            <w:r>
              <w:rPr>
                <w:sz w:val="19"/>
              </w:rPr>
              <w:t>PESTLE не сохраняется</w:t>
            </w:r>
          </w:p>
        </w:tc>
        <w:tc>
          <w:tcPr>
            <w:tcW w:type="dxa" w:w="3067"/>
            <w:tcMar>
              <w:top w:w="75" w:type="dxa"/>
              <w:left w:w="75" w:type="dxa"/>
              <w:bottom w:w="75" w:type="dxa"/>
              <w:right w:w="75" w:type="dxa"/>
            </w:tcMar>
          </w:tcPr>
          <w:p>
            <w:pPr>
              <w:spacing w:after="0" w:line="245" w:lineRule="auto"/>
            </w:pPr>
            <w:r>
              <w:rPr>
                <w:sz w:val="19"/>
              </w:rPr>
              <w:t>Короткая гипотеза либо конфликт версий</w:t>
            </w:r>
          </w:p>
        </w:tc>
        <w:tc>
          <w:tcPr>
            <w:tcW w:type="dxa" w:w="4536"/>
            <w:tcMar>
              <w:top w:w="75" w:type="dxa"/>
              <w:left w:w="75" w:type="dxa"/>
              <w:bottom w:w="75" w:type="dxa"/>
              <w:right w:w="75" w:type="dxa"/>
            </w:tcMar>
          </w:tcPr>
          <w:p>
            <w:pPr>
              <w:spacing w:after="0" w:line="245" w:lineRule="auto"/>
            </w:pPr>
            <w:r>
              <w:rPr>
                <w:sz w:val="19"/>
              </w:rPr>
              <w:t>Сохранить свой текст, открыть актуальную версию, перенести правки</w:t>
            </w:r>
          </w:p>
        </w:tc>
      </w:tr>
      <w:tr>
        <w:trPr>
          <w:cantSplit/>
        </w:trPr>
        <w:tc>
          <w:tcPr>
            <w:tcW w:type="dxa" w:w="2333"/>
            <w:tcMar>
              <w:top w:w="75" w:type="dxa"/>
              <w:left w:w="75" w:type="dxa"/>
              <w:bottom w:w="75" w:type="dxa"/>
              <w:right w:w="75" w:type="dxa"/>
            </w:tcMar>
          </w:tcPr>
          <w:p>
            <w:pPr>
              <w:spacing w:after="0" w:line="245" w:lineRule="auto"/>
            </w:pPr>
            <w:r>
              <w:rPr>
                <w:sz w:val="19"/>
              </w:rPr>
              <w:t>Не выгружается группа</w:t>
            </w:r>
          </w:p>
        </w:tc>
        <w:tc>
          <w:tcPr>
            <w:tcW w:type="dxa" w:w="3067"/>
            <w:tcMar>
              <w:top w:w="75" w:type="dxa"/>
              <w:left w:w="75" w:type="dxa"/>
              <w:bottom w:w="75" w:type="dxa"/>
              <w:right w:w="75" w:type="dxa"/>
            </w:tcMar>
          </w:tcPr>
          <w:p>
            <w:pPr>
              <w:spacing w:after="0" w:line="245" w:lineRule="auto"/>
            </w:pPr>
            <w:r>
              <w:rPr>
                <w:sz w:val="19"/>
              </w:rPr>
              <w:t>Превышен предел или сохранился выбор с других страниц</w:t>
            </w:r>
          </w:p>
        </w:tc>
        <w:tc>
          <w:tcPr>
            <w:tcW w:type="dxa" w:w="4536"/>
            <w:tcMar>
              <w:top w:w="75" w:type="dxa"/>
              <w:left w:w="75" w:type="dxa"/>
              <w:bottom w:w="75" w:type="dxa"/>
              <w:right w:w="75" w:type="dxa"/>
            </w:tcMar>
          </w:tcPr>
          <w:p>
            <w:pPr>
              <w:spacing w:after="0" w:line="245" w:lineRule="auto"/>
            </w:pPr>
            <w:r>
              <w:rPr>
                <w:sz w:val="19"/>
              </w:rPr>
              <w:t>Проверить выбор. До 100 записей для JSON и до 15 для заявки</w:t>
            </w:r>
          </w:p>
        </w:tc>
      </w:tr>
      <w:tr>
        <w:trPr>
          <w:cantSplit/>
        </w:trPr>
        <w:tc>
          <w:tcPr>
            <w:tcW w:type="dxa" w:w="2333"/>
            <w:tcMar>
              <w:top w:w="75" w:type="dxa"/>
              <w:left w:w="75" w:type="dxa"/>
              <w:bottom w:w="75" w:type="dxa"/>
              <w:right w:w="75" w:type="dxa"/>
            </w:tcMar>
          </w:tcPr>
          <w:p>
            <w:pPr>
              <w:spacing w:after="0" w:line="245" w:lineRule="auto"/>
            </w:pPr>
            <w:r>
              <w:rPr>
                <w:sz w:val="19"/>
              </w:rPr>
              <w:t>В новой установке нет старых результатов</w:t>
            </w:r>
          </w:p>
        </w:tc>
        <w:tc>
          <w:tcPr>
            <w:tcW w:type="dxa" w:w="3067"/>
            <w:tcMar>
              <w:top w:w="75" w:type="dxa"/>
              <w:left w:w="75" w:type="dxa"/>
              <w:bottom w:w="75" w:type="dxa"/>
              <w:right w:w="75" w:type="dxa"/>
            </w:tcMar>
          </w:tcPr>
          <w:p>
            <w:pPr>
              <w:spacing w:after="0" w:line="245" w:lineRule="auto"/>
            </w:pPr>
            <w:r>
              <w:rPr>
                <w:sz w:val="19"/>
              </w:rPr>
              <w:t>Создана новая пустая база</w:t>
            </w:r>
          </w:p>
        </w:tc>
        <w:tc>
          <w:tcPr>
            <w:tcW w:type="dxa" w:w="4536"/>
            <w:tcMar>
              <w:top w:w="75" w:type="dxa"/>
              <w:left w:w="75" w:type="dxa"/>
              <w:bottom w:w="75" w:type="dxa"/>
              <w:right w:w="75" w:type="dxa"/>
            </w:tcMar>
          </w:tcPr>
          <w:p>
            <w:pPr>
              <w:spacing w:after="0" w:line="245" w:lineRule="auto"/>
            </w:pPr>
            <w:r>
              <w:rPr>
                <w:sz w:val="19"/>
              </w:rPr>
              <w:t>Это ожидаемо. Перенос рабочих данных выполняется отдельно</w:t>
            </w:r>
          </w:p>
        </w:tc>
      </w:tr>
    </w:tbl>
    <w:p>
      <w:pPr>
        <w:spacing w:after="0" w:before="0" w:line="60" w:lineRule="exact"/>
      </w:pPr>
      <w:r>
        <w:rPr>
          <w:sz w:val="6"/>
        </w:rPr>
      </w:r>
    </w:p>
    <w:p>
      <w:pPr>
        <w:pStyle w:val="Heading2"/>
      </w:pPr>
      <w:r>
        <w:t>Что сообщить администратору</w:t>
      </w:r>
    </w:p>
    <w:p>
      <w:r>
        <w:t xml:space="preserve">Передайте время, страницу, формулировку запроса, идентификатор задания или ссылку на результат, видимый текст ошибки и действие перед ней. Не прикладывайте пароли, токены и полное содержимое </w:t>
      </w:r>
      <w:r>
        <w:rPr>
          <w:rFonts w:ascii="Courier New" w:hAnsi="Courier New"/>
          <w:sz w:val="18"/>
        </w:rPr>
        <w:t>.env</w:t>
      </w:r>
      <w:r>
        <w:t>. Уточните, воспроизводится ли проблема после повторного открытия сохранённого результата.</w:t>
      </w:r>
    </w:p>
    <w:p>
      <w:r>
        <w:t xml:space="preserve">Если сохранение формы завершилось ошибкой, скопируйте введённый текст до обновления страницы. Успешное открытие справки или </w:t>
      </w:r>
      <w:r>
        <w:rPr>
          <w:rFonts w:ascii="Courier New" w:hAnsi="Courier New"/>
          <w:sz w:val="18"/>
        </w:rPr>
        <w:t>/health</w:t>
      </w:r>
      <w:r>
        <w:t xml:space="preserve"> не подтверждает работоспособность внешних источников и полного научного конвейера.</w:t>
      </w:r>
    </w:p>
    <w:p>
      <w:pPr>
        <w:pStyle w:val="Heading1"/>
        <w:pageBreakBefore/>
      </w:pPr>
      <w:r>
        <w:t>18 Проверки и критерии приёмки</w:t>
      </w:r>
      <w:bookmarkStart w:id="19" w:name="s19"/>
      <w:bookmarkEnd w:id="19"/>
    </w:p>
    <w:p>
      <w:r>
        <w:t>Ниже приведены результаты протокола передачи 0.4.65 от 29 сентября 2026 года. Это разные наборы проверок в разных окружениях. Их числа нельзя складывать или выдавать за точность поиска слабых сигналов.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067"/>
        <w:gridCol w:w="4536"/>
      </w:tblGrid>
      <w:tr>
        <w:trPr>
          <w:cantSplit/>
          <w:tblHeader/>
        </w:trPr>
        <w:tc>
          <w:tcPr>
            <w:tcW w:type="dxa" w:w="2333"/>
            <w:tcMar>
              <w:top w:w="75" w:type="dxa"/>
              <w:left w:w="75" w:type="dxa"/>
              <w:bottom w:w="75" w:type="dxa"/>
              <w:right w:w="75" w:type="dxa"/>
            </w:tcMar>
            <w:shd w:fill="EEF1F5"/>
          </w:tcPr>
          <w:p>
            <w:pPr>
              <w:spacing w:after="0" w:line="245" w:lineRule="auto"/>
            </w:pPr>
            <w:r>
              <w:rPr>
                <w:b/>
                <w:sz w:val="19"/>
              </w:rPr>
              <w:t>Проверка</w:t>
            </w:r>
          </w:p>
        </w:tc>
        <w:tc>
          <w:tcPr>
            <w:tcW w:type="dxa" w:w="3067"/>
            <w:tcMar>
              <w:top w:w="75" w:type="dxa"/>
              <w:left w:w="75" w:type="dxa"/>
              <w:bottom w:w="75" w:type="dxa"/>
              <w:right w:w="75" w:type="dxa"/>
            </w:tcMar>
            <w:shd w:fill="EEF1F5"/>
          </w:tcPr>
          <w:p>
            <w:pPr>
              <w:spacing w:after="0" w:line="245" w:lineRule="auto"/>
            </w:pPr>
            <w:r>
              <w:rPr>
                <w:b/>
                <w:sz w:val="19"/>
              </w:rPr>
              <w:t>Результат</w:t>
            </w:r>
          </w:p>
        </w:tc>
        <w:tc>
          <w:tcPr>
            <w:tcW w:type="dxa" w:w="4536"/>
            <w:tcMar>
              <w:top w:w="75" w:type="dxa"/>
              <w:left w:w="75" w:type="dxa"/>
              <w:bottom w:w="75" w:type="dxa"/>
              <w:right w:w="75" w:type="dxa"/>
            </w:tcMar>
            <w:shd w:fill="EEF1F5"/>
          </w:tcPr>
          <w:p>
            <w:pPr>
              <w:spacing w:after="0" w:line="245" w:lineRule="auto"/>
            </w:pPr>
            <w:r>
              <w:rPr>
                <w:b/>
                <w:sz w:val="19"/>
              </w:rPr>
              <w:t>Что подтверждает</w:t>
            </w:r>
          </w:p>
        </w:tc>
      </w:tr>
      <w:tr>
        <w:trPr>
          <w:cantSplit/>
        </w:trPr>
        <w:tc>
          <w:tcPr>
            <w:tcW w:type="dxa" w:w="2333"/>
            <w:tcMar>
              <w:top w:w="75" w:type="dxa"/>
              <w:left w:w="75" w:type="dxa"/>
              <w:bottom w:w="75" w:type="dxa"/>
              <w:right w:w="75" w:type="dxa"/>
            </w:tcMar>
          </w:tcPr>
          <w:p>
            <w:pPr>
              <w:spacing w:after="0" w:line="245" w:lineRule="auto"/>
            </w:pPr>
            <w:r>
              <w:rPr>
                <w:sz w:val="19"/>
              </w:rPr>
              <w:t>Переносимые тесты распакованного архива с Node.js</w:t>
            </w:r>
          </w:p>
        </w:tc>
        <w:tc>
          <w:tcPr>
            <w:tcW w:type="dxa" w:w="3067"/>
            <w:tcMar>
              <w:top w:w="75" w:type="dxa"/>
              <w:left w:w="75" w:type="dxa"/>
              <w:bottom w:w="75" w:type="dxa"/>
              <w:right w:w="75" w:type="dxa"/>
            </w:tcMar>
          </w:tcPr>
          <w:p>
            <w:pPr>
              <w:spacing w:after="0" w:line="245" w:lineRule="auto"/>
            </w:pPr>
            <w:r>
              <w:rPr>
                <w:sz w:val="19"/>
              </w:rPr>
              <w:t>363 пройдены, 4 пропущены</w:t>
            </w:r>
          </w:p>
        </w:tc>
        <w:tc>
          <w:tcPr>
            <w:tcW w:type="dxa" w:w="4536"/>
            <w:tcMar>
              <w:top w:w="75" w:type="dxa"/>
              <w:left w:w="75" w:type="dxa"/>
              <w:bottom w:w="75" w:type="dxa"/>
              <w:right w:w="75" w:type="dxa"/>
            </w:tcMar>
          </w:tcPr>
          <w:p>
            <w:pPr>
              <w:spacing w:after="0" w:line="245" w:lineRule="auto"/>
            </w:pPr>
            <w:r>
              <w:rPr>
                <w:sz w:val="19"/>
              </w:rPr>
              <w:t>Контракты и функции минимальной поставки в локальном окружении</w:t>
            </w:r>
          </w:p>
        </w:tc>
      </w:tr>
      <w:tr>
        <w:trPr>
          <w:cantSplit/>
        </w:trPr>
        <w:tc>
          <w:tcPr>
            <w:tcW w:type="dxa" w:w="2333"/>
            <w:tcMar>
              <w:top w:w="75" w:type="dxa"/>
              <w:left w:w="75" w:type="dxa"/>
              <w:bottom w:w="75" w:type="dxa"/>
              <w:right w:w="75" w:type="dxa"/>
            </w:tcMar>
          </w:tcPr>
          <w:p>
            <w:pPr>
              <w:spacing w:after="0" w:line="245" w:lineRule="auto"/>
            </w:pPr>
            <w:r>
              <w:rPr>
                <w:sz w:val="19"/>
              </w:rPr>
              <w:t>Переносимый профиль внутри Docker с отдельной PostgreSQL</w:t>
            </w:r>
          </w:p>
        </w:tc>
        <w:tc>
          <w:tcPr>
            <w:tcW w:type="dxa" w:w="3067"/>
            <w:tcMar>
              <w:top w:w="75" w:type="dxa"/>
              <w:left w:w="75" w:type="dxa"/>
              <w:bottom w:w="75" w:type="dxa"/>
              <w:right w:w="75" w:type="dxa"/>
            </w:tcMar>
          </w:tcPr>
          <w:p>
            <w:pPr>
              <w:spacing w:after="0" w:line="245" w:lineRule="auto"/>
            </w:pPr>
            <w:r>
              <w:rPr>
                <w:sz w:val="19"/>
              </w:rPr>
              <w:t>437 пройдены, 6 пропущены</w:t>
            </w:r>
          </w:p>
        </w:tc>
        <w:tc>
          <w:tcPr>
            <w:tcW w:type="dxa" w:w="4536"/>
            <w:tcMar>
              <w:top w:w="75" w:type="dxa"/>
              <w:left w:w="75" w:type="dxa"/>
              <w:bottom w:w="75" w:type="dxa"/>
              <w:right w:w="75" w:type="dxa"/>
            </w:tcMar>
          </w:tcPr>
          <w:p>
            <w:pPr>
              <w:spacing w:after="0" w:line="245" w:lineRule="auto"/>
            </w:pPr>
            <w:r>
              <w:rPr>
                <w:sz w:val="19"/>
              </w:rPr>
              <w:t>Функции итогового образа с настоящей тестовой базой</w:t>
            </w:r>
          </w:p>
        </w:tc>
      </w:tr>
      <w:tr>
        <w:trPr>
          <w:cantSplit/>
        </w:trPr>
        <w:tc>
          <w:tcPr>
            <w:tcW w:type="dxa" w:w="2333"/>
            <w:tcMar>
              <w:top w:w="75" w:type="dxa"/>
              <w:left w:w="75" w:type="dxa"/>
              <w:bottom w:w="75" w:type="dxa"/>
              <w:right w:w="75" w:type="dxa"/>
            </w:tcMar>
          </w:tcPr>
          <w:p>
            <w:pPr>
              <w:spacing w:after="0" w:line="245" w:lineRule="auto"/>
            </w:pPr>
            <w:r>
              <w:rPr>
                <w:sz w:val="19"/>
              </w:rPr>
              <w:t>Полный локальный набор рабочего проекта</w:t>
            </w:r>
          </w:p>
        </w:tc>
        <w:tc>
          <w:tcPr>
            <w:tcW w:type="dxa" w:w="3067"/>
            <w:tcMar>
              <w:top w:w="75" w:type="dxa"/>
              <w:left w:w="75" w:type="dxa"/>
              <w:bottom w:w="75" w:type="dxa"/>
              <w:right w:w="75" w:type="dxa"/>
            </w:tcMar>
          </w:tcPr>
          <w:p>
            <w:pPr>
              <w:spacing w:after="0" w:line="245" w:lineRule="auto"/>
            </w:pPr>
            <w:r>
              <w:rPr>
                <w:sz w:val="19"/>
              </w:rPr>
              <w:t>2052 пройдены, 25 пропущены</w:t>
            </w:r>
          </w:p>
        </w:tc>
        <w:tc>
          <w:tcPr>
            <w:tcW w:type="dxa" w:w="4536"/>
            <w:tcMar>
              <w:top w:w="75" w:type="dxa"/>
              <w:left w:w="75" w:type="dxa"/>
              <w:bottom w:w="75" w:type="dxa"/>
              <w:right w:w="75" w:type="dxa"/>
            </w:tcMar>
          </w:tcPr>
          <w:p>
            <w:pPr>
              <w:spacing w:after="0" w:line="245" w:lineRule="auto"/>
            </w:pPr>
            <w:r>
              <w:rPr>
                <w:sz w:val="19"/>
              </w:rPr>
              <w:t>Более широкую техническую регрессию исследовательского проекта</w:t>
            </w:r>
          </w:p>
        </w:tc>
      </w:tr>
      <w:tr>
        <w:trPr>
          <w:cantSplit/>
        </w:trPr>
        <w:tc>
          <w:tcPr>
            <w:tcW w:type="dxa" w:w="2333"/>
            <w:tcMar>
              <w:top w:w="75" w:type="dxa"/>
              <w:left w:w="75" w:type="dxa"/>
              <w:bottom w:w="75" w:type="dxa"/>
              <w:right w:w="75" w:type="dxa"/>
            </w:tcMar>
          </w:tcPr>
          <w:p>
            <w:pPr>
              <w:spacing w:after="0" w:line="245" w:lineRule="auto"/>
            </w:pPr>
            <w:r>
              <w:rPr>
                <w:sz w:val="19"/>
              </w:rPr>
              <w:t>Запуск с пустой базой</w:t>
            </w:r>
          </w:p>
        </w:tc>
        <w:tc>
          <w:tcPr>
            <w:tcW w:type="dxa" w:w="3067"/>
            <w:tcMar>
              <w:top w:w="75" w:type="dxa"/>
              <w:left w:w="75" w:type="dxa"/>
              <w:bottom w:w="75" w:type="dxa"/>
              <w:right w:w="75" w:type="dxa"/>
            </w:tcMar>
          </w:tcPr>
          <w:p>
            <w:pPr>
              <w:spacing w:after="0" w:line="245" w:lineRule="auto"/>
            </w:pPr>
            <w:r>
              <w:rPr>
                <w:sz w:val="19"/>
              </w:rPr>
              <w:t>67 миграций, ожидающих нет</w:t>
            </w:r>
          </w:p>
        </w:tc>
        <w:tc>
          <w:tcPr>
            <w:tcW w:type="dxa" w:w="4536"/>
            <w:tcMar>
              <w:top w:w="75" w:type="dxa"/>
              <w:left w:w="75" w:type="dxa"/>
              <w:bottom w:w="75" w:type="dxa"/>
              <w:right w:w="75" w:type="dxa"/>
            </w:tcMar>
          </w:tcPr>
          <w:p>
            <w:pPr>
              <w:spacing w:after="0" w:line="245" w:lineRule="auto"/>
            </w:pPr>
            <w:r>
              <w:rPr>
                <w:sz w:val="19"/>
              </w:rPr>
              <w:t>Создание актуальной схемы и запуск компонентов</w:t>
            </w:r>
          </w:p>
        </w:tc>
      </w:tr>
      <w:tr>
        <w:trPr>
          <w:cantSplit/>
        </w:trPr>
        <w:tc>
          <w:tcPr>
            <w:tcW w:type="dxa" w:w="2333"/>
            <w:tcMar>
              <w:top w:w="75" w:type="dxa"/>
              <w:left w:w="75" w:type="dxa"/>
              <w:bottom w:w="75" w:type="dxa"/>
              <w:right w:w="75" w:type="dxa"/>
            </w:tcMar>
          </w:tcPr>
          <w:p>
            <w:pPr>
              <w:spacing w:after="0" w:line="245" w:lineRule="auto"/>
            </w:pPr>
            <w:r>
              <w:rPr>
                <w:sz w:val="19"/>
              </w:rPr>
              <w:t>Версии зависимостей</w:t>
            </w:r>
          </w:p>
        </w:tc>
        <w:tc>
          <w:tcPr>
            <w:tcW w:type="dxa" w:w="3067"/>
            <w:tcMar>
              <w:top w:w="75" w:type="dxa"/>
              <w:left w:w="75" w:type="dxa"/>
              <w:bottom w:w="75" w:type="dxa"/>
              <w:right w:w="75" w:type="dxa"/>
            </w:tcMar>
          </w:tcPr>
          <w:p>
            <w:pPr>
              <w:spacing w:after="0" w:line="245" w:lineRule="auto"/>
            </w:pPr>
            <w:r>
              <w:rPr>
                <w:sz w:val="19"/>
              </w:rPr>
              <w:t>65 закреплённых версий совпали</w:t>
            </w:r>
          </w:p>
        </w:tc>
        <w:tc>
          <w:tcPr>
            <w:tcW w:type="dxa" w:w="4536"/>
            <w:tcMar>
              <w:top w:w="75" w:type="dxa"/>
              <w:left w:w="75" w:type="dxa"/>
              <w:bottom w:w="75" w:type="dxa"/>
              <w:right w:w="75" w:type="dxa"/>
            </w:tcMar>
          </w:tcPr>
          <w:p>
            <w:pPr>
              <w:spacing w:after="0" w:line="245" w:lineRule="auto"/>
            </w:pPr>
            <w:r>
              <w:rPr>
                <w:sz w:val="19"/>
              </w:rPr>
              <w:t>Соответствие проверенного Linux arm64 окружения</w:t>
            </w:r>
          </w:p>
        </w:tc>
      </w:tr>
      <w:tr>
        <w:trPr>
          <w:cantSplit/>
        </w:trPr>
        <w:tc>
          <w:tcPr>
            <w:tcW w:type="dxa" w:w="2333"/>
            <w:tcMar>
              <w:top w:w="75" w:type="dxa"/>
              <w:left w:w="75" w:type="dxa"/>
              <w:bottom w:w="75" w:type="dxa"/>
              <w:right w:w="75" w:type="dxa"/>
            </w:tcMar>
          </w:tcPr>
          <w:p>
            <w:pPr>
              <w:spacing w:after="0" w:line="245" w:lineRule="auto"/>
            </w:pPr>
            <w:r>
              <w:rPr>
                <w:sz w:val="19"/>
              </w:rPr>
              <w:t>Целостность архива</w:t>
            </w:r>
          </w:p>
        </w:tc>
        <w:tc>
          <w:tcPr>
            <w:tcW w:type="dxa" w:w="3067"/>
            <w:tcMar>
              <w:top w:w="75" w:type="dxa"/>
              <w:left w:w="75" w:type="dxa"/>
              <w:bottom w:w="75" w:type="dxa"/>
              <w:right w:w="75" w:type="dxa"/>
            </w:tcMar>
          </w:tcPr>
          <w:p>
            <w:pPr>
              <w:spacing w:after="0" w:line="245" w:lineRule="auto"/>
            </w:pPr>
            <w:r>
              <w:rPr>
                <w:sz w:val="19"/>
              </w:rPr>
              <w:t>CRC, пути и SHA-256 файлов проверены</w:t>
            </w:r>
          </w:p>
        </w:tc>
        <w:tc>
          <w:tcPr>
            <w:tcW w:type="dxa" w:w="4536"/>
            <w:tcMar>
              <w:top w:w="75" w:type="dxa"/>
              <w:left w:w="75" w:type="dxa"/>
              <w:bottom w:w="75" w:type="dxa"/>
              <w:right w:w="75" w:type="dxa"/>
            </w:tcMar>
          </w:tcPr>
          <w:p>
            <w:pPr>
              <w:spacing w:after="0" w:line="245" w:lineRule="auto"/>
            </w:pPr>
            <w:r>
              <w:rPr>
                <w:sz w:val="19"/>
              </w:rPr>
              <w:t>Отсутствие повреждений и соответствие манифесту</w:t>
            </w:r>
          </w:p>
        </w:tc>
      </w:tr>
    </w:tbl>
    <w:p>
      <w:pPr>
        <w:spacing w:after="0" w:before="0" w:line="60" w:lineRule="exact"/>
      </w:pPr>
      <w:r>
        <w:rPr>
          <w:sz w:val="6"/>
        </w:rPr>
      </w:r>
    </w:p>
    <w:p>
      <w:r>
        <w:t>Пропуски связаны с отдельными историческими пакетами, исходным PDF, недоступными ресурсами или отсутствием Node.js в контейнере. Соответствующие браузерные проверки выполнены отдельно на хосте. Остались два прежних предупреждения библиотек.</w:t>
      </w:r>
    </w:p>
    <w:p>
      <w:pPr>
        <w:pStyle w:val="Heading2"/>
      </w:pPr>
      <w:r>
        <w:t>Границы выполненной проверки</w:t>
      </w:r>
    </w:p>
    <w:p>
      <w:r>
        <w:t xml:space="preserve">Ранее проверенная сборка переиспользовала локальный образ зависимостей. Отдельный </w:t>
      </w:r>
      <w:hyperlink r:id="rId22">
        <w:r>
          <w:rPr>
            <w:color w:val="245AA8"/>
          </w:rPr>
          <w:t>переносимый CI в GitHub Actions</w:t>
        </w:r>
      </w:hyperlink>
      <w:r>
        <w:t xml:space="preserve"> успешно выполнен. Актуальный статус чистой Docker-сборки указан в </w:t>
      </w:r>
      <w:hyperlink r:id="rId23">
        <w:r>
          <w:rPr>
            <w:color w:val="245AA8"/>
          </w:rPr>
          <w:t>VALIDATION.md</w:t>
        </w:r>
      </w:hyperlink>
      <w:r>
        <w:t>. Первый живой анализ с загрузкой модели на новой машине здесь не подтверждён. Также не доказаны производственная безопасность, SLA и научная точность.</w:t>
      </w:r>
    </w:p>
    <w:p>
      <w:pPr>
        <w:pStyle w:val="Heading2"/>
      </w:pPr>
      <w:r>
        <w:t>Приёмка следующей установки</w:t>
      </w:r>
    </w:p>
    <w:p>
      <w:r>
        <w:t>Проверьте создание отдельной базы и запуск обработчика. Выполните небольшой реальный запрос, дождитесь результата, откройте карточку и ссылки. Убедитесь, что отсутствующие каналы не изображаются нулевой активностью. Передайте тестовую карточку на экспертизу, сохраните мнение и PESTLE, затем скачайте HTML и JSON и сопоставьте данные с экраном.</w:t>
      </w:r>
    </w:p>
    <w:p>
      <w:r>
        <w:t>После перезапуска проверьте сохранность результата и заявки. Для внешнего показа отдельно проверьте запрос пароля, запрет записи и отсутствие клиентских данных. Тестовые записи следует создавать в отдельной базе, не в рабочем исследовании.</w:t>
      </w:r>
    </w:p>
    <w:p>
      <w:pPr>
        <w:pStyle w:val="Heading1"/>
        <w:pageBreakBefore/>
      </w:pPr>
      <w:r>
        <w:t>19 Ограничения и дальнейшая разработка</w:t>
      </w:r>
      <w:bookmarkStart w:id="20" w:name="s20"/>
      <w:bookmarkEnd w:id="20"/>
    </w:p>
    <w:p>
      <w:pPr>
        <w:pStyle w:val="Heading2"/>
      </w:pPr>
      <w:r>
        <w:t>Что уже можно использовать</w:t>
      </w:r>
    </w:p>
    <w:p>
      <w:r>
        <w:t>Доступен сквозной пользовательский путь от запроса до кандидатов, карточек, источников, графиков, сохранения и необязательной экспертизы. Есть публичный каталог, пояснения локальной модели, авторские заметки PESTLE, технологический радар, справка и переносимый комплект кода.</w:t>
      </w:r>
    </w:p>
    <w:p>
      <w:pPr>
        <w:pStyle w:val="Heading2"/>
      </w:pPr>
      <w:r>
        <w:t>Что пока требует осторожности</w:t>
      </w:r>
    </w:p>
    <w:p>
      <w:pPr>
        <w:pStyle w:val="ListBullet"/>
      </w:pPr>
      <w:r>
        <w:t>Точность обнаружения будущих трендов не установлена. Технически корректный расчёт может выделить слишком широкую или содержательно неоднородную тему.</w:t>
      </w:r>
    </w:p>
    <w:p>
      <w:pPr>
        <w:pStyle w:val="ListBullet"/>
      </w:pPr>
      <w:r>
        <w:t>Сопоставимость покрытия, первичность исследований и смысловая связность не всегда определяются. Низкая полнота данных не должна подменяться положительным или отрицательным доказательством.</w:t>
      </w:r>
    </w:p>
    <w:p>
      <w:pPr>
        <w:pStyle w:val="ListBullet"/>
      </w:pPr>
      <w:r>
        <w:t>Относительные показатели зависят от запроса, корпуса и модели. Высокий ранг в малой выборке может не означать значимость в широкой области.</w:t>
      </w:r>
    </w:p>
    <w:p>
      <w:pPr>
        <w:pStyle w:val="ListBullet"/>
      </w:pPr>
      <w:r>
        <w:t>Внешняя оценка основана на метаданных и консервативной лексической связи. Синонимы могут теряться, а похожие формулировки связывать разные сюжеты.</w:t>
      </w:r>
    </w:p>
    <w:p>
      <w:pPr>
        <w:pStyle w:val="ListBullet"/>
      </w:pPr>
      <w:r>
        <w:t>Патенты не доказывают внедрение. Публичные инвестиционные сообщения не образуют полного реестра сделок. Гранты и контракты имеют отдельную природу.</w:t>
      </w:r>
    </w:p>
    <w:p>
      <w:pPr>
        <w:pStyle w:val="ListBullet"/>
      </w:pPr>
      <w:r>
        <w:t>Переносимость старых исследовательских сценариев ограничена отсутствующими корпусами и историческими пакетами. Минимальный репозиторий не воспроизводит весь накопленный экспериментальный архив.</w:t>
      </w:r>
    </w:p>
    <w:p>
      <w:pPr>
        <w:pStyle w:val="Heading2"/>
      </w:pPr>
      <w:r>
        <w:t>Приоритет следующего этапа</w:t>
      </w:r>
    </w:p>
    <w:p>
      <w:r>
        <w:t>Качество выдачи. Подготовить независимую разметку результатов широких запросов. Оценивать отдельно релевантность работ, связность кандидата, дубли, новизну и полноту нахождения известных примеров. Примеры заказчика и подготовительные подтемы не следует автоматически считать размеченными слабыми сигналами.</w:t>
      </w:r>
    </w:p>
    <w:p>
      <w:r>
        <w:rPr>
          <w:b/>
        </w:rPr>
        <w:t>Сопоставимость данных.</w:t>
      </w:r>
      <w:r>
        <w:t xml:space="preserve"> Зафиксировать источники, периоды, правила включения и знаменатель. Сравнить локальный архив и ограниченный живой сбор на одинаковых запросах. Новые данные полезны, если улучшают покрытие или проверку, а не только увеличивают объём.</w:t>
      </w:r>
    </w:p>
    <w:p>
      <w:r>
        <w:rPr>
          <w:b/>
        </w:rPr>
        <w:t>Скорость и эксплуатация.</w:t>
      </w:r>
      <w:r>
        <w:t xml:space="preserve"> Измерить холодный и повторный поиск по приоритетным направлениям. Проверить достижение 20 минут на указанном оборудовании. Отмена и повтор уже предусмотрены API заданий. Перед публичным поиском нужно проверить их сквозную работу, добавить пользовательские лимиты и мониторинг.</w:t>
      </w:r>
    </w:p>
    <w:p>
      <w:r>
        <w:rPr>
          <w:b/>
        </w:rPr>
        <w:t>Экспертный процесс.</w:t>
      </w:r>
      <w:r>
        <w:t xml:space="preserve"> Рекомендуется просить эксперта отдельно оценивать единство темы, первичность, рост, независимость, противоречия и практическую значимость. Для контрольного набора нужны независимые мнения и разбор разногласий. Это методика организации работы, а не уже реализованное автоматическое голосование.</w:t>
      </w:r>
    </w:p>
    <w:p>
      <w:pPr>
        <w:pStyle w:val="Heading1"/>
        <w:pageBreakBefore/>
      </w:pPr>
      <w:r>
        <w:t>20 Справочник разработчика и первоисточники</w:t>
      </w:r>
      <w:bookmarkStart w:id="21" w:name="s21"/>
      <w:bookmarkEnd w:id="21"/>
    </w:p>
    <w:p>
      <w:pPr>
        <w:pStyle w:val="Heading2"/>
      </w:pPr>
      <w:r>
        <w:t>Где искать актуальные правила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tcMar>
              <w:top w:w="75" w:type="dxa"/>
              <w:left w:w="75" w:type="dxa"/>
              <w:bottom w:w="75" w:type="dxa"/>
              <w:right w:w="75" w:type="dxa"/>
            </w:tcMar>
            <w:shd w:fill="EEF1F5"/>
          </w:tcPr>
          <w:p>
            <w:pPr>
              <w:spacing w:after="0" w:line="245" w:lineRule="auto"/>
            </w:pPr>
            <w:r>
              <w:rPr>
                <w:b/>
                <w:sz w:val="19"/>
              </w:rPr>
              <w:t>Вопрос</w:t>
            </w:r>
          </w:p>
        </w:tc>
        <w:tc>
          <w:tcPr>
            <w:tcW w:type="dxa" w:w="6984"/>
            <w:tcMar>
              <w:top w:w="75" w:type="dxa"/>
              <w:left w:w="75" w:type="dxa"/>
              <w:bottom w:w="75" w:type="dxa"/>
              <w:right w:w="75" w:type="dxa"/>
            </w:tcMar>
            <w:shd w:fill="EEF1F5"/>
          </w:tcPr>
          <w:p>
            <w:pPr>
              <w:spacing w:after="0" w:line="245" w:lineRule="auto"/>
            </w:pPr>
            <w:r>
              <w:rPr>
                <w:b/>
                <w:sz w:val="19"/>
              </w:rPr>
              <w:t>Файл или каталог репозитория</w:t>
            </w:r>
          </w:p>
        </w:tc>
      </w:tr>
      <w:tr>
        <w:trPr>
          <w:cantSplit/>
        </w:trPr>
        <w:tc>
          <w:tcPr>
            <w:tcW w:type="dxa" w:w="2952"/>
            <w:tcMar>
              <w:top w:w="75" w:type="dxa"/>
              <w:left w:w="75" w:type="dxa"/>
              <w:bottom w:w="75" w:type="dxa"/>
              <w:right w:w="75" w:type="dxa"/>
            </w:tcMar>
          </w:tcPr>
          <w:p>
            <w:pPr>
              <w:spacing w:after="0" w:line="245" w:lineRule="auto"/>
            </w:pPr>
            <w:r>
              <w:rPr>
                <w:sz w:val="19"/>
              </w:rPr>
              <w:t>Пользовательский путь и формулировки</w:t>
            </w:r>
          </w:p>
        </w:tc>
        <w:tc>
          <w:tcPr>
            <w:tcW w:type="dxa" w:w="6984"/>
            <w:tcMar>
              <w:top w:w="75" w:type="dxa"/>
              <w:left w:w="75" w:type="dxa"/>
              <w:bottom w:w="75" w:type="dxa"/>
              <w:right w:w="75" w:type="dxa"/>
            </w:tcMar>
          </w:tcPr>
          <w:p>
            <w:pPr>
              <w:spacing w:after="0" w:line="245" w:lineRule="auto"/>
            </w:pPr>
            <w:r>
              <w:rPr>
                <w:rFonts w:ascii="Courier New" w:hAnsi="Courier New"/>
                <w:sz w:val="19"/>
              </w:rPr>
              <w:t>saia/help_content.py</w:t>
            </w:r>
            <w:r>
              <w:rPr>
                <w:sz w:val="19"/>
              </w:rPr>
              <w:t xml:space="preserve">, </w:t>
            </w:r>
            <w:r>
              <w:rPr>
                <w:rFonts w:ascii="Courier New" w:hAnsi="Courier New"/>
                <w:sz w:val="19"/>
              </w:rPr>
              <w:t>saia/help_web.py</w:t>
            </w:r>
          </w:p>
        </w:tc>
      </w:tr>
      <w:tr>
        <w:trPr>
          <w:cantSplit/>
        </w:trPr>
        <w:tc>
          <w:tcPr>
            <w:tcW w:type="dxa" w:w="2952"/>
            <w:tcMar>
              <w:top w:w="75" w:type="dxa"/>
              <w:left w:w="75" w:type="dxa"/>
              <w:bottom w:w="75" w:type="dxa"/>
              <w:right w:w="75" w:type="dxa"/>
            </w:tcMar>
          </w:tcPr>
          <w:p>
            <w:pPr>
              <w:spacing w:after="0" w:line="245" w:lineRule="auto"/>
            </w:pPr>
            <w:r>
              <w:rPr>
                <w:sz w:val="19"/>
              </w:rPr>
              <w:t>Научные проверки и конфигурация</w:t>
            </w:r>
          </w:p>
        </w:tc>
        <w:tc>
          <w:tcPr>
            <w:tcW w:type="dxa" w:w="6984"/>
            <w:tcMar>
              <w:top w:w="75" w:type="dxa"/>
              <w:left w:w="75" w:type="dxa"/>
              <w:bottom w:w="75" w:type="dxa"/>
              <w:right w:w="75" w:type="dxa"/>
            </w:tcMar>
          </w:tcPr>
          <w:p>
            <w:pPr>
              <w:spacing w:after="0" w:line="245" w:lineRule="auto"/>
            </w:pPr>
            <w:r>
              <w:rPr>
                <w:rFonts w:ascii="Courier New" w:hAnsi="Courier New"/>
                <w:sz w:val="19"/>
              </w:rPr>
              <w:t>saia/scoring.py</w:t>
            </w:r>
            <w:r>
              <w:rPr>
                <w:sz w:val="19"/>
              </w:rPr>
              <w:t xml:space="preserve">, </w:t>
            </w:r>
            <w:r>
              <w:rPr>
                <w:rFonts w:ascii="Courier New" w:hAnsi="Courier New"/>
                <w:sz w:val="19"/>
              </w:rPr>
              <w:t>saia/methodology.py</w:t>
            </w:r>
            <w:r>
              <w:rPr>
                <w:sz w:val="19"/>
              </w:rPr>
              <w:t xml:space="preserve">, </w:t>
            </w:r>
            <w:r>
              <w:rPr>
                <w:rFonts w:ascii="Courier New" w:hAnsi="Courier New"/>
                <w:sz w:val="19"/>
              </w:rPr>
              <w:t>config/</w:t>
            </w:r>
          </w:p>
        </w:tc>
      </w:tr>
      <w:tr>
        <w:trPr>
          <w:cantSplit/>
        </w:trPr>
        <w:tc>
          <w:tcPr>
            <w:tcW w:type="dxa" w:w="2952"/>
            <w:tcMar>
              <w:top w:w="75" w:type="dxa"/>
              <w:left w:w="75" w:type="dxa"/>
              <w:bottom w:w="75" w:type="dxa"/>
              <w:right w:w="75" w:type="dxa"/>
            </w:tcMar>
          </w:tcPr>
          <w:p>
            <w:pPr>
              <w:spacing w:after="0" w:line="245" w:lineRule="auto"/>
            </w:pPr>
            <w:r>
              <w:rPr>
                <w:sz w:val="19"/>
              </w:rPr>
              <w:t>Рабочий балл и внешние прибавки</w:t>
            </w:r>
          </w:p>
        </w:tc>
        <w:tc>
          <w:tcPr>
            <w:tcW w:type="dxa" w:w="6984"/>
            <w:tcMar>
              <w:top w:w="75" w:type="dxa"/>
              <w:left w:w="75" w:type="dxa"/>
              <w:bottom w:w="75" w:type="dxa"/>
              <w:right w:w="75" w:type="dxa"/>
            </w:tcMar>
          </w:tcPr>
          <w:p>
            <w:pPr>
              <w:spacing w:after="0" w:line="245" w:lineRule="auto"/>
            </w:pPr>
            <w:r>
              <w:rPr>
                <w:rFonts w:ascii="Courier New" w:hAnsi="Courier New"/>
                <w:sz w:val="19"/>
              </w:rPr>
              <w:t>saia/candidate_assessment.py</w:t>
            </w:r>
          </w:p>
        </w:tc>
      </w:tr>
      <w:tr>
        <w:trPr>
          <w:cantSplit/>
        </w:trPr>
        <w:tc>
          <w:tcPr>
            <w:tcW w:type="dxa" w:w="2952"/>
            <w:tcMar>
              <w:top w:w="75" w:type="dxa"/>
              <w:left w:w="75" w:type="dxa"/>
              <w:bottom w:w="75" w:type="dxa"/>
              <w:right w:w="75" w:type="dxa"/>
            </w:tcMar>
          </w:tcPr>
          <w:p>
            <w:pPr>
              <w:spacing w:after="0" w:line="245" w:lineRule="auto"/>
            </w:pPr>
            <w:r>
              <w:rPr>
                <w:sz w:val="19"/>
              </w:rPr>
              <w:t>Порядок выдачи</w:t>
            </w:r>
          </w:p>
        </w:tc>
        <w:tc>
          <w:tcPr>
            <w:tcW w:type="dxa" w:w="6984"/>
            <w:tcMar>
              <w:top w:w="75" w:type="dxa"/>
              <w:left w:w="75" w:type="dxa"/>
              <w:bottom w:w="75" w:type="dxa"/>
              <w:right w:w="75" w:type="dxa"/>
            </w:tcMar>
          </w:tcPr>
          <w:p>
            <w:pPr>
              <w:spacing w:after="0" w:line="245" w:lineRule="auto"/>
            </w:pPr>
            <w:r>
              <w:rPr>
                <w:rFonts w:ascii="Courier New" w:hAnsi="Courier New"/>
                <w:sz w:val="19"/>
              </w:rPr>
              <w:t>saia/scout_results.py</w:t>
            </w:r>
            <w:r>
              <w:rPr>
                <w:sz w:val="19"/>
              </w:rPr>
              <w:t xml:space="preserve">, </w:t>
            </w:r>
            <w:r>
              <w:rPr>
                <w:rFonts w:ascii="Courier New" w:hAnsi="Courier New"/>
                <w:sz w:val="19"/>
              </w:rPr>
              <w:t>saia/triage.py</w:t>
            </w:r>
          </w:p>
        </w:tc>
      </w:tr>
      <w:tr>
        <w:trPr>
          <w:cantSplit/>
        </w:trPr>
        <w:tc>
          <w:tcPr>
            <w:tcW w:type="dxa" w:w="2952"/>
            <w:tcMar>
              <w:top w:w="75" w:type="dxa"/>
              <w:left w:w="75" w:type="dxa"/>
              <w:bottom w:w="75" w:type="dxa"/>
              <w:right w:w="75" w:type="dxa"/>
            </w:tcMar>
          </w:tcPr>
          <w:p>
            <w:pPr>
              <w:spacing w:after="0" w:line="245" w:lineRule="auto"/>
            </w:pPr>
            <w:r>
              <w:rPr>
                <w:sz w:val="19"/>
              </w:rPr>
              <w:t>Источники и сохранённые ответы</w:t>
            </w:r>
          </w:p>
        </w:tc>
        <w:tc>
          <w:tcPr>
            <w:tcW w:type="dxa" w:w="6984"/>
            <w:tcMar>
              <w:top w:w="75" w:type="dxa"/>
              <w:left w:w="75" w:type="dxa"/>
              <w:bottom w:w="75" w:type="dxa"/>
              <w:right w:w="75" w:type="dxa"/>
            </w:tcMar>
          </w:tcPr>
          <w:p>
            <w:pPr>
              <w:spacing w:after="0" w:line="245" w:lineRule="auto"/>
            </w:pPr>
            <w:r>
              <w:rPr>
                <w:rFonts w:ascii="Courier New" w:hAnsi="Courier New"/>
                <w:sz w:val="19"/>
              </w:rPr>
              <w:t>saia/source_context.py</w:t>
            </w:r>
            <w:r>
              <w:rPr>
                <w:sz w:val="19"/>
              </w:rPr>
              <w:t xml:space="preserve">, </w:t>
            </w:r>
            <w:r>
              <w:rPr>
                <w:rFonts w:ascii="Courier New" w:hAnsi="Courier New"/>
                <w:sz w:val="19"/>
              </w:rPr>
              <w:t>saia/source_registry.py</w:t>
            </w:r>
          </w:p>
        </w:tc>
      </w:tr>
      <w:tr>
        <w:trPr>
          <w:cantSplit/>
        </w:trPr>
        <w:tc>
          <w:tcPr>
            <w:tcW w:type="dxa" w:w="2952"/>
            <w:tcMar>
              <w:top w:w="75" w:type="dxa"/>
              <w:left w:w="75" w:type="dxa"/>
              <w:bottom w:w="75" w:type="dxa"/>
              <w:right w:w="75" w:type="dxa"/>
            </w:tcMar>
          </w:tcPr>
          <w:p>
            <w:pPr>
              <w:spacing w:after="0" w:line="245" w:lineRule="auto"/>
            </w:pPr>
            <w:r>
              <w:rPr>
                <w:sz w:val="19"/>
              </w:rPr>
              <w:t>Научный конвейер</w:t>
            </w:r>
          </w:p>
        </w:tc>
        <w:tc>
          <w:tcPr>
            <w:tcW w:type="dxa" w:w="6984"/>
            <w:tcMar>
              <w:top w:w="75" w:type="dxa"/>
              <w:left w:w="75" w:type="dxa"/>
              <w:bottom w:w="75" w:type="dxa"/>
              <w:right w:w="75" w:type="dxa"/>
            </w:tcMar>
          </w:tcPr>
          <w:p>
            <w:pPr>
              <w:spacing w:after="0" w:line="245" w:lineRule="auto"/>
            </w:pPr>
            <w:r>
              <w:rPr>
                <w:rFonts w:ascii="Courier New" w:hAnsi="Courier New"/>
                <w:sz w:val="19"/>
              </w:rPr>
              <w:t>saia/full_analysis.py</w:t>
            </w:r>
            <w:r>
              <w:rPr>
                <w:sz w:val="19"/>
              </w:rPr>
              <w:t xml:space="preserve">, </w:t>
            </w:r>
            <w:r>
              <w:rPr>
                <w:rFonts w:ascii="Courier New" w:hAnsi="Courier New"/>
                <w:sz w:val="19"/>
              </w:rPr>
              <w:t>saia/embed.py</w:t>
            </w:r>
            <w:r>
              <w:rPr>
                <w:sz w:val="19"/>
              </w:rPr>
              <w:t xml:space="preserve">, </w:t>
            </w:r>
            <w:r>
              <w:rPr>
                <w:rFonts w:ascii="Courier New" w:hAnsi="Courier New"/>
                <w:sz w:val="19"/>
              </w:rPr>
              <w:t>saia/cluster.py</w:t>
            </w:r>
          </w:p>
        </w:tc>
      </w:tr>
      <w:tr>
        <w:trPr>
          <w:cantSplit/>
        </w:trPr>
        <w:tc>
          <w:tcPr>
            <w:tcW w:type="dxa" w:w="2952"/>
            <w:tcMar>
              <w:top w:w="75" w:type="dxa"/>
              <w:left w:w="75" w:type="dxa"/>
              <w:bottom w:w="75" w:type="dxa"/>
              <w:right w:w="75" w:type="dxa"/>
            </w:tcMar>
          </w:tcPr>
          <w:p>
            <w:pPr>
              <w:spacing w:after="0" w:line="245" w:lineRule="auto"/>
            </w:pPr>
            <w:r>
              <w:rPr>
                <w:sz w:val="19"/>
              </w:rPr>
              <w:t>Экспертиза и история мнений</w:t>
            </w:r>
          </w:p>
        </w:tc>
        <w:tc>
          <w:tcPr>
            <w:tcW w:type="dxa" w:w="6984"/>
            <w:tcMar>
              <w:top w:w="75" w:type="dxa"/>
              <w:left w:w="75" w:type="dxa"/>
              <w:bottom w:w="75" w:type="dxa"/>
              <w:right w:w="75" w:type="dxa"/>
            </w:tcMar>
          </w:tcPr>
          <w:p>
            <w:pPr>
              <w:spacing w:after="0" w:line="245" w:lineRule="auto"/>
            </w:pPr>
            <w:r>
              <w:rPr>
                <w:rFonts w:ascii="Courier New" w:hAnsi="Courier New"/>
                <w:sz w:val="19"/>
              </w:rPr>
              <w:t>saia/expert_requests.py</w:t>
            </w:r>
            <w:r>
              <w:rPr>
                <w:sz w:val="19"/>
              </w:rPr>
              <w:t xml:space="preserve">, </w:t>
            </w:r>
            <w:r>
              <w:rPr>
                <w:rFonts w:ascii="Courier New" w:hAnsi="Courier New"/>
                <w:sz w:val="19"/>
              </w:rPr>
              <w:t>saia/score_expert.py</w:t>
            </w:r>
          </w:p>
        </w:tc>
      </w:tr>
      <w:tr>
        <w:trPr>
          <w:cantSplit/>
        </w:trPr>
        <w:tc>
          <w:tcPr>
            <w:tcW w:type="dxa" w:w="2952"/>
            <w:tcMar>
              <w:top w:w="75" w:type="dxa"/>
              <w:left w:w="75" w:type="dxa"/>
              <w:bottom w:w="75" w:type="dxa"/>
              <w:right w:w="75" w:type="dxa"/>
            </w:tcMar>
          </w:tcPr>
          <w:p>
            <w:pPr>
              <w:spacing w:after="0" w:line="245" w:lineRule="auto"/>
            </w:pPr>
            <w:r>
              <w:rPr>
                <w:sz w:val="19"/>
              </w:rPr>
              <w:t>HTML и JSON выгрузки</w:t>
            </w:r>
          </w:p>
        </w:tc>
        <w:tc>
          <w:tcPr>
            <w:tcW w:type="dxa" w:w="6984"/>
            <w:tcMar>
              <w:top w:w="75" w:type="dxa"/>
              <w:left w:w="75" w:type="dxa"/>
              <w:bottom w:w="75" w:type="dxa"/>
              <w:right w:w="75" w:type="dxa"/>
            </w:tcMar>
          </w:tcPr>
          <w:p>
            <w:pPr>
              <w:spacing w:after="0" w:line="245" w:lineRule="auto"/>
            </w:pPr>
            <w:r>
              <w:rPr>
                <w:rFonts w:ascii="Courier New" w:hAnsi="Courier New"/>
                <w:sz w:val="19"/>
              </w:rPr>
              <w:t>saia/candidate_brief.py</w:t>
            </w:r>
            <w:r>
              <w:rPr>
                <w:sz w:val="19"/>
              </w:rPr>
              <w:t xml:space="preserve">, </w:t>
            </w:r>
            <w:r>
              <w:rPr>
                <w:rFonts w:ascii="Courier New" w:hAnsi="Courier New"/>
                <w:sz w:val="19"/>
              </w:rPr>
              <w:t>saia/result_export.py</w:t>
            </w:r>
          </w:p>
        </w:tc>
      </w:tr>
      <w:tr>
        <w:trPr>
          <w:cantSplit/>
        </w:trPr>
        <w:tc>
          <w:tcPr>
            <w:tcW w:type="dxa" w:w="2952"/>
            <w:tcMar>
              <w:top w:w="75" w:type="dxa"/>
              <w:left w:w="75" w:type="dxa"/>
              <w:bottom w:w="75" w:type="dxa"/>
              <w:right w:w="75" w:type="dxa"/>
            </w:tcMar>
          </w:tcPr>
          <w:p>
            <w:pPr>
              <w:spacing w:after="0" w:line="245" w:lineRule="auto"/>
            </w:pPr>
            <w:r>
              <w:rPr>
                <w:sz w:val="19"/>
              </w:rPr>
              <w:t>Публичные записи и происхождение</w:t>
            </w:r>
          </w:p>
        </w:tc>
        <w:tc>
          <w:tcPr>
            <w:tcW w:type="dxa" w:w="6984"/>
            <w:tcMar>
              <w:top w:w="75" w:type="dxa"/>
              <w:left w:w="75" w:type="dxa"/>
              <w:bottom w:w="75" w:type="dxa"/>
              <w:right w:w="75" w:type="dxa"/>
            </w:tcMar>
          </w:tcPr>
          <w:p>
            <w:pPr>
              <w:spacing w:after="0" w:line="245" w:lineRule="auto"/>
            </w:pPr>
            <w:r>
              <w:rPr>
                <w:rFonts w:ascii="Courier New" w:hAnsi="Courier New"/>
                <w:sz w:val="19"/>
              </w:rPr>
              <w:t>data/reference/public_signals/</w:t>
            </w:r>
          </w:p>
        </w:tc>
      </w:tr>
      <w:tr>
        <w:trPr>
          <w:cantSplit/>
        </w:trPr>
        <w:tc>
          <w:tcPr>
            <w:tcW w:type="dxa" w:w="2952"/>
            <w:tcMar>
              <w:top w:w="75" w:type="dxa"/>
              <w:left w:w="75" w:type="dxa"/>
              <w:bottom w:w="75" w:type="dxa"/>
              <w:right w:w="75" w:type="dxa"/>
            </w:tcMar>
          </w:tcPr>
          <w:p>
            <w:pPr>
              <w:spacing w:after="0" w:line="245" w:lineRule="auto"/>
            </w:pPr>
            <w:r>
              <w:rPr>
                <w:sz w:val="19"/>
              </w:rPr>
              <w:t>Установка и конфигурация</w:t>
            </w:r>
          </w:p>
        </w:tc>
        <w:tc>
          <w:tcPr>
            <w:tcW w:type="dxa" w:w="6984"/>
            <w:tcMar>
              <w:top w:w="75" w:type="dxa"/>
              <w:left w:w="75" w:type="dxa"/>
              <w:bottom w:w="75" w:type="dxa"/>
              <w:right w:w="75" w:type="dxa"/>
            </w:tcMar>
          </w:tcPr>
          <w:p>
            <w:pPr>
              <w:spacing w:after="0" w:line="245" w:lineRule="auto"/>
            </w:pPr>
            <w:r>
              <w:rPr>
                <w:rFonts w:ascii="Courier New" w:hAnsi="Courier New"/>
                <w:sz w:val="19"/>
              </w:rPr>
              <w:t>compose.yaml</w:t>
            </w:r>
            <w:r>
              <w:rPr>
                <w:sz w:val="19"/>
              </w:rPr>
              <w:t xml:space="preserve">, </w:t>
            </w:r>
            <w:r>
              <w:rPr>
                <w:rFonts w:ascii="Courier New" w:hAnsi="Courier New"/>
                <w:sz w:val="19"/>
              </w:rPr>
              <w:t>.env.repository.example</w:t>
            </w:r>
          </w:p>
        </w:tc>
      </w:tr>
      <w:tr>
        <w:trPr>
          <w:cantSplit/>
        </w:trPr>
        <w:tc>
          <w:tcPr>
            <w:tcW w:type="dxa" w:w="2952"/>
            <w:tcMar>
              <w:top w:w="75" w:type="dxa"/>
              <w:left w:w="75" w:type="dxa"/>
              <w:bottom w:w="75" w:type="dxa"/>
              <w:right w:w="75" w:type="dxa"/>
            </w:tcMar>
          </w:tcPr>
          <w:p>
            <w:pPr>
              <w:spacing w:after="0" w:line="245" w:lineRule="auto"/>
            </w:pPr>
            <w:r>
              <w:rPr>
                <w:sz w:val="19"/>
              </w:rPr>
              <w:t>Условия поставки и безопасность</w:t>
            </w:r>
          </w:p>
        </w:tc>
        <w:tc>
          <w:tcPr>
            <w:tcW w:type="dxa" w:w="6984"/>
            <w:tcMar>
              <w:top w:w="75" w:type="dxa"/>
              <w:left w:w="75" w:type="dxa"/>
              <w:bottom w:w="75" w:type="dxa"/>
              <w:right w:w="75" w:type="dxa"/>
            </w:tcMar>
          </w:tcPr>
          <w:p>
            <w:pPr>
              <w:spacing w:after="0" w:line="245" w:lineRule="auto"/>
            </w:pPr>
            <w:r>
              <w:rPr>
                <w:rFonts w:ascii="Courier New" w:hAnsi="Courier New"/>
                <w:sz w:val="19"/>
              </w:rPr>
              <w:t>docs/repository/</w:t>
            </w:r>
          </w:p>
        </w:tc>
      </w:tr>
      <w:tr>
        <w:trPr>
          <w:cantSplit/>
        </w:trPr>
        <w:tc>
          <w:tcPr>
            <w:tcW w:type="dxa" w:w="2952"/>
            <w:tcMar>
              <w:top w:w="75" w:type="dxa"/>
              <w:left w:w="75" w:type="dxa"/>
              <w:bottom w:w="75" w:type="dxa"/>
              <w:right w:w="75" w:type="dxa"/>
            </w:tcMar>
          </w:tcPr>
          <w:p>
            <w:pPr>
              <w:spacing w:after="0" w:line="245" w:lineRule="auto"/>
            </w:pPr>
            <w:r>
              <w:t>Протокол проверок</w:t>
            </w:r>
          </w:p>
        </w:tc>
        <w:tc>
          <w:tcPr>
            <w:tcW w:type="dxa" w:w="6984"/>
            <w:tcMar>
              <w:top w:w="75" w:type="dxa"/>
              <w:left w:w="75" w:type="dxa"/>
              <w:bottom w:w="75" w:type="dxa"/>
              <w:right w:w="75" w:type="dxa"/>
            </w:tcMar>
          </w:tcPr>
          <w:p>
            <w:pPr>
              <w:spacing w:after="0" w:line="245" w:lineRule="auto"/>
            </w:pPr>
            <w:hyperlink r:id="rId23">
              <w:r>
                <w:rPr>
                  <w:color w:val="245AA8"/>
                </w:rPr>
                <w:t>VALIDATION.md и журнал GitHub Actions</w:t>
              </w:r>
            </w:hyperlink>
          </w:p>
        </w:tc>
      </w:tr>
    </w:tbl>
    <w:p>
      <w:pPr>
        <w:spacing w:after="0" w:before="0" w:line="60" w:lineRule="exact"/>
      </w:pPr>
      <w:r>
        <w:rPr>
          <w:sz w:val="6"/>
        </w:rPr>
      </w:r>
    </w:p>
    <w:p>
      <w:pPr>
        <w:pStyle w:val="Heading2"/>
      </w:pPr>
      <w:r>
        <w:t>Проверки для разработчика</w:t>
      </w:r>
    </w:p>
    <w:p>
      <w:r>
        <w:t xml:space="preserve">В отдельном окружении установите дополнительные зависимости и запустите переносимый профиль. Для JavaScript-проверок требуется Node.js в PATH либо </w:t>
      </w:r>
      <w:r>
        <w:rPr>
          <w:rFonts w:ascii="Courier New" w:hAnsi="Courier New"/>
          <w:sz w:val="18"/>
        </w:rPr>
        <w:t>HORIZON_NODE_BINARY</w:t>
      </w:r>
      <w:r>
        <w:t>. Интеграционные тесты выполняйте с отдельной PostgreSQL.</w:t>
      </w:r>
    </w:p>
    <w:p>
      <w:pPr>
        <w:pStyle w:val="Command"/>
      </w:pPr>
      <w:r>
        <w:t>python -m pip install '.[dev,db,web,bulk]'</w:t>
      </w:r>
    </w:p>
    <w:p>
      <w:pPr>
        <w:pStyle w:val="Command"/>
      </w:pPr>
      <w:r>
        <w:t>python scripts/check_repository.py</w:t>
      </w:r>
    </w:p>
    <w:p>
      <w:r>
        <w:t xml:space="preserve">Полный pytest -q исследовательского проекта требует дополнительных данных. Переносимый CI описан в .github/workflows/check.yml, его </w:t>
      </w:r>
      <w:hyperlink r:id="rId22">
        <w:r>
          <w:rPr>
            <w:color w:val="245AA8"/>
          </w:rPr>
          <w:t>удалённый прогон успешно завершён</w:t>
        </w:r>
      </w:hyperlink>
      <w:r>
        <w:t>. После изменения функции обновляйте справку и проверяйте выгрузку вместе с экраном.</w:t>
      </w:r>
    </w:p>
    <w:p>
      <w:pPr>
        <w:pStyle w:val="Heading2"/>
      </w:pPr>
      <w:r>
        <w:t>Термины и источники</w:t>
      </w:r>
    </w:p>
    <w:p>
      <w:r>
        <w:rPr>
          <w:b/>
        </w:rPr>
        <w:t>Кандидат</w:t>
      </w:r>
      <w:r>
        <w:t xml:space="preserve"> означает тему для проверки. </w:t>
      </w:r>
      <w:r>
        <w:rPr>
          <w:b/>
        </w:rPr>
        <w:t>Корпус</w:t>
      </w:r>
      <w:r>
        <w:t xml:space="preserve"> означает конкретный набор анализируемых работ. </w:t>
      </w:r>
      <w:r>
        <w:rPr>
          <w:b/>
        </w:rPr>
        <w:t>Диффузия</w:t>
      </w:r>
      <w:r>
        <w:t xml:space="preserve"> означает распространение между группами, организациями или областями. </w:t>
      </w:r>
      <w:r>
        <w:rPr>
          <w:b/>
        </w:rPr>
        <w:t>Покрытие</w:t>
      </w:r>
      <w:r>
        <w:t xml:space="preserve"> означает охват данных по заданным правилам. </w:t>
      </w:r>
      <w:r>
        <w:rPr>
          <w:b/>
        </w:rPr>
        <w:t>null</w:t>
      </w:r>
      <w:r>
        <w:t xml:space="preserve"> означает неизвестность, не ноль.</w:t>
      </w:r>
    </w:p>
    <w:p>
      <w:r>
        <w:t xml:space="preserve">Основа документа: код и справка 0.4.65, </w:t>
      </w:r>
      <w:r>
        <w:rPr>
          <w:rFonts w:ascii="Courier New" w:hAnsi="Courier New"/>
          <w:sz w:val="18"/>
        </w:rPr>
        <w:t>docs/repository/</w:t>
      </w:r>
      <w:r>
        <w:t xml:space="preserve"> и протокол передачи. </w:t>
      </w:r>
      <w:hyperlink r:id="rId18">
        <w:r>
          <w:rPr>
            <w:color w:val="2456A0"/>
          </w:rPr>
          <w:t>Отчёт JRC140959</w:t>
        </w:r>
      </w:hyperlink>
      <w:r>
        <w:t xml:space="preserve"> доступен у издателя. Остальные источники и условия указаны в </w:t>
      </w:r>
      <w:r>
        <w:rPr>
          <w:rFonts w:ascii="Courier New" w:hAnsi="Courier New"/>
          <w:sz w:val="18"/>
        </w:rPr>
        <w:t>source_documents</w:t>
      </w:r>
      <w:r>
        <w:t xml:space="preserve"> публичного каталога.</w:t>
      </w:r>
    </w:p>
    <w:p>
      <w:pPr>
        <w:pStyle w:val="Heading1"/>
        <w:pageBreakBefore/>
      </w:pPr>
      <w:r>
        <w:t>21 Основные маршруты API</w:t>
      </w:r>
      <w:bookmarkStart w:id="22" w:name="s22"/>
      <w:bookmarkEnd w:id="22"/>
    </w:p>
    <w:p>
      <w:r>
        <w:t xml:space="preserve">Маршруты ниже относятся к локальному рабочему API, а не к защищённому демонстрационному режиму. Контракты запросов определены в </w:t>
      </w:r>
      <w:r>
        <w:rPr>
          <w:rFonts w:ascii="Courier New" w:hAnsi="Courier New"/>
          <w:sz w:val="18"/>
        </w:rPr>
        <w:t>saia/api.py</w:t>
      </w:r>
      <w:r>
        <w:t>. Для работы с сохранённой карточкой передавайте правильные идентификаторы исследования, кандидата и прогона оценки. Название темы не заменяет эту привязку.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4536"/>
      </w:tblGrid>
      <w:tr>
        <w:trPr>
          <w:cantSplit/>
          <w:tblHeader/>
        </w:trPr>
        <w:tc>
          <w:tcPr>
            <w:tcW w:type="dxa" w:w="5400"/>
            <w:tcMar>
              <w:top w:w="75" w:type="dxa"/>
              <w:left w:w="75" w:type="dxa"/>
              <w:bottom w:w="75" w:type="dxa"/>
              <w:right w:w="75" w:type="dxa"/>
            </w:tcMar>
            <w:shd w:fill="EEF1F5"/>
          </w:tcPr>
          <w:p>
            <w:pPr>
              <w:spacing w:after="0" w:line="245" w:lineRule="auto"/>
            </w:pPr>
            <w:r>
              <w:rPr>
                <w:b/>
                <w:sz w:val="19"/>
              </w:rPr>
              <w:t>Метод и маршрут</w:t>
            </w:r>
          </w:p>
        </w:tc>
        <w:tc>
          <w:tcPr>
            <w:tcW w:type="dxa" w:w="4536"/>
            <w:tcMar>
              <w:top w:w="75" w:type="dxa"/>
              <w:left w:w="75" w:type="dxa"/>
              <w:bottom w:w="75" w:type="dxa"/>
              <w:right w:w="75" w:type="dxa"/>
            </w:tcMar>
            <w:shd w:fill="EEF1F5"/>
          </w:tcPr>
          <w:p>
            <w:pPr>
              <w:spacing w:after="0" w:line="245" w:lineRule="auto"/>
            </w:pPr>
            <w:r>
              <w:rPr>
                <w:b/>
                <w:sz w:val="19"/>
              </w:rPr>
              <w:t>Назначение</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/health</w:t>
            </w:r>
          </w:p>
        </w:tc>
        <w:tc>
          <w:tcPr>
            <w:tcW w:type="dxa" w:w="4536"/>
            <w:tcMar>
              <w:top w:w="75" w:type="dxa"/>
              <w:left w:w="75" w:type="dxa"/>
              <w:bottom w:w="75" w:type="dxa"/>
              <w:right w:w="75" w:type="dxa"/>
            </w:tcMar>
          </w:tcPr>
          <w:p>
            <w:pPr>
              <w:spacing w:after="0" w:line="245" w:lineRule="auto"/>
            </w:pPr>
            <w:r>
              <w:rPr>
                <w:sz w:val="19"/>
              </w:rPr>
              <w:t>Версия HTTP-сервиса, не готовность полного конвейера</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/methodology</w:t>
            </w:r>
            <w:r>
              <w:rPr>
                <w:sz w:val="19"/>
              </w:rPr>
              <w:t xml:space="preserve"> и </w:t>
            </w:r>
            <w:r>
              <w:rPr>
                <w:rFonts w:ascii="Courier New" w:hAnsi="Courier New"/>
                <w:sz w:val="19"/>
              </w:rPr>
              <w:t>/source-catalog</w:t>
            </w:r>
          </w:p>
        </w:tc>
        <w:tc>
          <w:tcPr>
            <w:tcW w:type="dxa" w:w="4536"/>
            <w:tcMar>
              <w:top w:w="75" w:type="dxa"/>
              <w:left w:w="75" w:type="dxa"/>
              <w:bottom w:w="75" w:type="dxa"/>
              <w:right w:w="75" w:type="dxa"/>
            </w:tcMar>
          </w:tcPr>
          <w:p>
            <w:pPr>
              <w:spacing w:after="0" w:line="245" w:lineRule="auto"/>
            </w:pPr>
            <w:r>
              <w:rPr>
                <w:sz w:val="19"/>
              </w:rPr>
              <w:t>Методика и каталог источников</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/query-plan/preview</w:t>
            </w:r>
          </w:p>
        </w:tc>
        <w:tc>
          <w:tcPr>
            <w:tcW w:type="dxa" w:w="4536"/>
            <w:tcMar>
              <w:top w:w="75" w:type="dxa"/>
              <w:left w:w="75" w:type="dxa"/>
              <w:bottom w:w="75" w:type="dxa"/>
              <w:right w:w="75" w:type="dxa"/>
            </w:tcMar>
          </w:tcPr>
          <w:p>
            <w:pPr>
              <w:spacing w:after="0" w:line="245" w:lineRule="auto"/>
            </w:pPr>
            <w:r>
              <w:rPr>
                <w:sz w:val="19"/>
              </w:rPr>
              <w:t>Подготовить поисковые ветви</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/query-plan/approve</w:t>
            </w:r>
          </w:p>
        </w:tc>
        <w:tc>
          <w:tcPr>
            <w:tcW w:type="dxa" w:w="4536"/>
            <w:tcMar>
              <w:top w:w="75" w:type="dxa"/>
              <w:left w:w="75" w:type="dxa"/>
              <w:bottom w:w="75" w:type="dxa"/>
              <w:right w:w="75" w:type="dxa"/>
            </w:tcMar>
          </w:tcPr>
          <w:p>
            <w:pPr>
              <w:spacing w:after="0" w:line="245" w:lineRule="auto"/>
            </w:pPr>
            <w:r>
              <w:rPr>
                <w:sz w:val="19"/>
              </w:rPr>
              <w:t>Сохранить выбранные ветви и происхождение плана</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/query-plans/{id}/compile</w:t>
            </w:r>
          </w:p>
        </w:tc>
        <w:tc>
          <w:tcPr>
            <w:tcW w:type="dxa" w:w="4536"/>
            <w:tcMar>
              <w:top w:w="75" w:type="dxa"/>
              <w:left w:w="75" w:type="dxa"/>
              <w:bottom w:w="75" w:type="dxa"/>
              <w:right w:w="75" w:type="dxa"/>
            </w:tcMar>
          </w:tcPr>
          <w:p>
            <w:pPr>
              <w:spacing w:after="0" w:line="245" w:lineRule="auto"/>
            </w:pPr>
            <w:r>
              <w:rPr>
                <w:sz w:val="19"/>
              </w:rPr>
              <w:t>Скомпилировать сохранённый план</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/query-plans/{id}/jobs/discovery</w:t>
            </w:r>
          </w:p>
        </w:tc>
        <w:tc>
          <w:tcPr>
            <w:tcW w:type="dxa" w:w="4536"/>
            <w:tcMar>
              <w:top w:w="75" w:type="dxa"/>
              <w:left w:w="75" w:type="dxa"/>
              <w:bottom w:w="75" w:type="dxa"/>
              <w:right w:w="75" w:type="dxa"/>
            </w:tcMar>
          </w:tcPr>
          <w:p>
            <w:pPr>
              <w:spacing w:after="0" w:line="245" w:lineRule="auto"/>
            </w:pPr>
            <w:r>
              <w:rPr>
                <w:sz w:val="19"/>
              </w:rPr>
              <w:t>Поставить сбор в очередь, ответ 202</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/jobs/{id}</w:t>
            </w:r>
          </w:p>
        </w:tc>
        <w:tc>
          <w:tcPr>
            <w:tcW w:type="dxa" w:w="4536"/>
            <w:tcMar>
              <w:top w:w="75" w:type="dxa"/>
              <w:left w:w="75" w:type="dxa"/>
              <w:bottom w:w="75" w:type="dxa"/>
              <w:right w:w="75" w:type="dxa"/>
            </w:tcMar>
          </w:tcPr>
          <w:p>
            <w:pPr>
              <w:spacing w:after="0" w:line="245" w:lineRule="auto"/>
            </w:pPr>
            <w:r>
              <w:rPr>
                <w:sz w:val="19"/>
              </w:rPr>
              <w:t>Прочитать состояние задания и этапов</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/jobs/{id}/full-analysis</w:t>
            </w:r>
          </w:p>
        </w:tc>
        <w:tc>
          <w:tcPr>
            <w:tcW w:type="dxa" w:w="4536"/>
            <w:tcMar>
              <w:top w:w="75" w:type="dxa"/>
              <w:left w:w="75" w:type="dxa"/>
              <w:bottom w:w="75" w:type="dxa"/>
              <w:right w:w="75" w:type="dxa"/>
            </w:tcMar>
          </w:tcPr>
          <w:p>
            <w:pPr>
              <w:spacing w:after="0" w:line="245" w:lineRule="auto"/>
            </w:pPr>
            <w:r>
              <w:rPr>
                <w:sz w:val="19"/>
              </w:rPr>
              <w:t>Поставить анализ собранного результата в очередь, ответ 202</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/jobs/{id}/cancel</w:t>
            </w:r>
            <w:r>
              <w:rPr>
                <w:sz w:val="19"/>
              </w:rPr>
              <w:t xml:space="preserve"> и </w:t>
            </w:r>
            <w:r>
              <w:rPr>
                <w:rFonts w:ascii="Courier New" w:hAnsi="Courier New"/>
                <w:sz w:val="19"/>
              </w:rPr>
              <w:t>/jobs/{id}/retry</w:t>
            </w:r>
          </w:p>
        </w:tc>
        <w:tc>
          <w:tcPr>
            <w:tcW w:type="dxa" w:w="4536"/>
            <w:tcMar>
              <w:top w:w="75" w:type="dxa"/>
              <w:left w:w="75" w:type="dxa"/>
              <w:bottom w:w="75" w:type="dxa"/>
              <w:right w:w="75" w:type="dxa"/>
            </w:tcMar>
          </w:tcPr>
          <w:p>
            <w:pPr>
              <w:spacing w:after="0" w:line="245" w:lineRule="auto"/>
            </w:pPr>
            <w:r>
              <w:rPr>
                <w:sz w:val="19"/>
              </w:rPr>
              <w:t>Запросить отмену или повтор</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/scout-results/{mission}</w:t>
            </w:r>
          </w:p>
        </w:tc>
        <w:tc>
          <w:tcPr>
            <w:tcW w:type="dxa" w:w="4536"/>
            <w:tcMar>
              <w:top w:w="75" w:type="dxa"/>
              <w:left w:w="75" w:type="dxa"/>
              <w:bottom w:w="75" w:type="dxa"/>
              <w:right w:w="75" w:type="dxa"/>
            </w:tcMar>
          </w:tcPr>
          <w:p>
            <w:pPr>
              <w:spacing w:after="0" w:line="245" w:lineRule="auto"/>
            </w:pPr>
            <w:r>
              <w:rPr>
                <w:sz w:val="19"/>
              </w:rPr>
              <w:t>Получить выдачу для скаута</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/signals/{mission}</w:t>
            </w:r>
          </w:p>
        </w:tc>
        <w:tc>
          <w:tcPr>
            <w:tcW w:type="dxa" w:w="4536"/>
            <w:tcMar>
              <w:top w:w="75" w:type="dxa"/>
              <w:left w:w="75" w:type="dxa"/>
              <w:bottom w:w="75" w:type="dxa"/>
              <w:right w:w="75" w:type="dxa"/>
            </w:tcMar>
          </w:tcPr>
          <w:p>
            <w:pPr>
              <w:spacing w:after="0" w:line="245" w:lineRule="auto"/>
            </w:pPr>
            <w:r>
              <w:rPr>
                <w:sz w:val="19"/>
              </w:rPr>
              <w:t>Получить сохранённые научные карточки</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/signals/{mission}/{candidate}/assessment</w:t>
            </w:r>
          </w:p>
        </w:tc>
        <w:tc>
          <w:tcPr>
            <w:tcW w:type="dxa" w:w="4536"/>
            <w:tcMar>
              <w:top w:w="75" w:type="dxa"/>
              <w:left w:w="75" w:type="dxa"/>
              <w:bottom w:w="75" w:type="dxa"/>
              <w:right w:w="75" w:type="dxa"/>
            </w:tcMar>
          </w:tcPr>
          <w:p>
            <w:pPr>
              <w:spacing w:after="0" w:line="245" w:lineRule="auto"/>
            </w:pPr>
            <w:r>
              <w:rPr>
                <w:sz w:val="19"/>
              </w:rPr>
              <w:t>Прочитать многоканальную оценку</w:t>
            </w:r>
          </w:p>
        </w:tc>
      </w:tr>
      <w:tr>
        <w:trPr>
          <w:cantSplit/>
        </w:trPr>
        <w:tc>
          <w:tcPr>
            <w:tcW w:type="dxa" w:w="5400"/>
            <w:tcMar>
              <w:top w:w="75" w:type="dxa"/>
              <w:left w:w="75" w:type="dxa"/>
              <w:bottom w:w="75" w:type="dxa"/>
              <w:right w:w="75" w:type="dxa"/>
            </w:tcMar>
          </w:tcPr>
          <w:p>
            <w:pPr>
              <w:spacing w:after="0" w:line="245" w:lineRule="auto"/>
            </w:pPr>
            <w:r>
              <w:rPr>
                <w:sz w:val="19"/>
              </w:rPr>
              <w:t xml:space="preserve">GET или POST </w:t>
            </w:r>
            <w:r>
              <w:rPr>
                <w:rFonts w:ascii="Courier New" w:hAnsi="Courier New"/>
                <w:sz w:val="19"/>
              </w:rPr>
              <w:t>/signals/{mission}/{candidate}/source-context</w:t>
            </w:r>
          </w:p>
        </w:tc>
        <w:tc>
          <w:tcPr>
            <w:tcW w:type="dxa" w:w="4536"/>
            <w:tcMar>
              <w:top w:w="75" w:type="dxa"/>
              <w:left w:w="75" w:type="dxa"/>
              <w:bottom w:w="75" w:type="dxa"/>
              <w:right w:w="75" w:type="dxa"/>
            </w:tcMar>
          </w:tcPr>
          <w:p>
            <w:pPr>
              <w:spacing w:after="0" w:line="245" w:lineRule="auto"/>
            </w:pPr>
            <w:r>
              <w:rPr>
                <w:sz w:val="19"/>
              </w:rPr>
              <w:t>Прочитать или собрать внешний контекст</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/expert-requests</w:t>
            </w:r>
          </w:p>
        </w:tc>
        <w:tc>
          <w:tcPr>
            <w:tcW w:type="dxa" w:w="4536"/>
            <w:tcMar>
              <w:top w:w="75" w:type="dxa"/>
              <w:left w:w="75" w:type="dxa"/>
              <w:bottom w:w="75" w:type="dxa"/>
              <w:right w:w="75" w:type="dxa"/>
            </w:tcMar>
          </w:tcPr>
          <w:p>
            <w:pPr>
              <w:spacing w:after="0" w:line="245" w:lineRule="auto"/>
            </w:pPr>
            <w:r>
              <w:rPr>
                <w:sz w:val="19"/>
              </w:rPr>
              <w:t>Создать внутреннюю заявку, ответ 201</w:t>
            </w:r>
          </w:p>
        </w:tc>
      </w:tr>
      <w:tr>
        <w:trPr>
          <w:cantSplit/>
        </w:trPr>
        <w:tc>
          <w:tcPr>
            <w:tcW w:type="dxa" w:w="5400"/>
            <w:tcMar>
              <w:top w:w="75" w:type="dxa"/>
              <w:left w:w="75" w:type="dxa"/>
              <w:bottom w:w="75" w:type="dxa"/>
              <w:right w:w="75" w:type="dxa"/>
            </w:tcMar>
          </w:tcPr>
          <w:p>
            <w:pPr>
              <w:spacing w:after="0" w:line="245" w:lineRule="auto"/>
            </w:pPr>
            <w:r>
              <w:rPr>
                <w:sz w:val="19"/>
              </w:rPr>
              <w:t xml:space="preserve">POST </w:t>
            </w:r>
            <w:r>
              <w:rPr>
                <w:rFonts w:ascii="Courier New" w:hAnsi="Courier New"/>
                <w:sz w:val="19"/>
              </w:rPr>
              <w:t>/signals/{mission}/{candidate}/reviews</w:t>
            </w:r>
          </w:p>
        </w:tc>
        <w:tc>
          <w:tcPr>
            <w:tcW w:type="dxa" w:w="4536"/>
            <w:tcMar>
              <w:top w:w="75" w:type="dxa"/>
              <w:left w:w="75" w:type="dxa"/>
              <w:bottom w:w="75" w:type="dxa"/>
              <w:right w:w="75" w:type="dxa"/>
            </w:tcMar>
          </w:tcPr>
          <w:p>
            <w:pPr>
              <w:spacing w:after="0" w:line="245" w:lineRule="auto"/>
            </w:pPr>
            <w:r>
              <w:rPr>
                <w:sz w:val="19"/>
              </w:rPr>
              <w:t>Сохранить мнение по научному кандидату</w:t>
            </w:r>
          </w:p>
        </w:tc>
      </w:tr>
      <w:tr>
        <w:trPr>
          <w:cantSplit/>
        </w:trPr>
        <w:tc>
          <w:tcPr>
            <w:tcW w:type="dxa" w:w="5400"/>
            <w:tcMar>
              <w:top w:w="75" w:type="dxa"/>
              <w:left w:w="75" w:type="dxa"/>
              <w:bottom w:w="75" w:type="dxa"/>
              <w:right w:w="75" w:type="dxa"/>
            </w:tcMar>
          </w:tcPr>
          <w:p>
            <w:pPr>
              <w:spacing w:after="0" w:line="245" w:lineRule="auto"/>
            </w:pPr>
            <w:r>
              <w:rPr>
                <w:sz w:val="19"/>
              </w:rPr>
              <w:t xml:space="preserve">GET </w:t>
            </w:r>
            <w:r>
              <w:rPr>
                <w:rFonts w:ascii="Courier New" w:hAnsi="Courier New"/>
                <w:sz w:val="19"/>
              </w:rPr>
              <w:t>/results/{mission}/export</w:t>
            </w:r>
          </w:p>
        </w:tc>
        <w:tc>
          <w:tcPr>
            <w:tcW w:type="dxa" w:w="4536"/>
            <w:tcMar>
              <w:top w:w="75" w:type="dxa"/>
              <w:left w:w="75" w:type="dxa"/>
              <w:bottom w:w="75" w:type="dxa"/>
              <w:right w:w="75" w:type="dxa"/>
            </w:tcMar>
          </w:tcPr>
          <w:p>
            <w:pPr>
              <w:spacing w:after="0" w:line="245" w:lineRule="auto"/>
            </w:pPr>
            <w:r>
              <w:rPr>
                <w:sz w:val="19"/>
              </w:rPr>
              <w:t>Выгрузить снимок результата в JSON</w:t>
            </w:r>
          </w:p>
        </w:tc>
      </w:tr>
    </w:tbl>
    <w:p>
      <w:pPr>
        <w:spacing w:after="0" w:before="0" w:line="60" w:lineRule="exact"/>
      </w:pPr>
      <w:r>
        <w:rPr>
          <w:sz w:val="6"/>
        </w:rPr>
      </w:r>
    </w:p>
    <w:p>
      <w:r>
        <w:t xml:space="preserve">В таблице </w:t>
      </w:r>
      <w:r>
        <w:rPr>
          <w:rFonts w:ascii="Courier New" w:hAnsi="Courier New"/>
          <w:sz w:val="18"/>
        </w:rPr>
        <w:t>{id}</w:t>
      </w:r>
      <w:r>
        <w:t xml:space="preserve">, </w:t>
      </w:r>
      <w:r>
        <w:rPr>
          <w:rFonts w:ascii="Courier New" w:hAnsi="Courier New"/>
          <w:sz w:val="18"/>
        </w:rPr>
        <w:t>{mission}</w:t>
      </w:r>
      <w:r>
        <w:t xml:space="preserve"> и </w:t>
      </w:r>
      <w:r>
        <w:rPr>
          <w:rFonts w:ascii="Courier New" w:hAnsi="Courier New"/>
          <w:sz w:val="18"/>
        </w:rPr>
        <w:t>{candidate}</w:t>
      </w:r>
      <w:r>
        <w:t xml:space="preserve"> обозначают реальные идентификаторы соответствующих сущностей. Их необходимо подставлять, это не буквальный текст URL.</w:t>
      </w:r>
    </w:p>
    <w:p>
      <w:r>
        <w:t xml:space="preserve">Состояния фоновой задачи: </w:t>
      </w:r>
      <w:r>
        <w:rPr>
          <w:rFonts w:ascii="Courier New" w:hAnsi="Courier New"/>
          <w:sz w:val="18"/>
        </w:rPr>
        <w:t>queued</w:t>
      </w:r>
      <w:r>
        <w:t xml:space="preserve">, </w:t>
      </w:r>
      <w:r>
        <w:rPr>
          <w:rFonts w:ascii="Courier New" w:hAnsi="Courier New"/>
          <w:sz w:val="18"/>
        </w:rPr>
        <w:t>running</w:t>
      </w:r>
      <w:r>
        <w:t xml:space="preserve">, </w:t>
      </w:r>
      <w:r>
        <w:rPr>
          <w:rFonts w:ascii="Courier New" w:hAnsi="Courier New"/>
          <w:sz w:val="18"/>
        </w:rPr>
        <w:t>cancel_requested</w:t>
      </w:r>
      <w:r>
        <w:t xml:space="preserve">, </w:t>
      </w:r>
      <w:r>
        <w:rPr>
          <w:rFonts w:ascii="Courier New" w:hAnsi="Courier New"/>
          <w:sz w:val="18"/>
        </w:rPr>
        <w:t>cancelled</w:t>
      </w:r>
      <w:r>
        <w:t xml:space="preserve">, </w:t>
      </w:r>
      <w:r>
        <w:rPr>
          <w:rFonts w:ascii="Courier New" w:hAnsi="Courier New"/>
          <w:sz w:val="18"/>
        </w:rPr>
        <w:t>succeeded</w:t>
      </w:r>
      <w:r>
        <w:t xml:space="preserve">, </w:t>
      </w:r>
      <w:r>
        <w:rPr>
          <w:rFonts w:ascii="Courier New" w:hAnsi="Courier New"/>
          <w:sz w:val="18"/>
        </w:rPr>
        <w:t>failed</w:t>
      </w:r>
      <w:r>
        <w:t>. Длинный анализ не должен удерживать один HTTP-запрос на всё время выполнения. Клиент получает идентификатор и опрашивает состояние.</w:t>
      </w:r>
    </w:p>
    <w:p>
      <w:r>
        <w:t xml:space="preserve">Ошибки валидации обычно возвращают 422, отсутствие сущности 404, конфликт или занятый контекст 409. Для аналитической заметки используется </w:t>
      </w:r>
      <w:r>
        <w:rPr>
          <w:rFonts w:ascii="Courier New" w:hAnsi="Courier New"/>
          <w:sz w:val="18"/>
        </w:rPr>
        <w:t>expected_revision</w:t>
      </w:r>
      <w:r>
        <w:t xml:space="preserve">. Для повторных отправок предусмотрен </w:t>
      </w:r>
      <w:r>
        <w:rPr>
          <w:rFonts w:ascii="Courier New" w:hAnsi="Courier New"/>
          <w:sz w:val="18"/>
        </w:rPr>
        <w:t>operation_id</w:t>
      </w:r>
      <w:r>
        <w:t>. При конфликте сначала перечитайте актуальную сущность, а не повторяйте запись с устаревшим составом.</w:t>
      </w:r>
    </w:p>
    <w:sectPr>
      <w:footerReference w:type="default" r:id="rId9"/>
      <w:pgSz w:w="12240" w:h="15840"/>
      <w:pgMar w:top="979" w:right="1152" w:bottom="936" w:left="115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Horizon 0.4.65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val="0"/>
      <w:color w:val="4545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Next w:val="0"/>
      <w:spacing w:after="40" w:line="240" w:lineRule="auto"/>
      <w:ind w:left="17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127.0.0.1:8085/scout" TargetMode="External"/><Relationship Id="rId13" Type="http://schemas.openxmlformats.org/officeDocument/2006/relationships/hyperlink" Target="http://127.0.0.1:8085/public-signals" TargetMode="External"/><Relationship Id="rId14" Type="http://schemas.openxmlformats.org/officeDocument/2006/relationships/hyperlink" Target="http://127.0.0.1:8085/help" TargetMode="External"/><Relationship Id="rId15" Type="http://schemas.openxmlformats.org/officeDocument/2006/relationships/hyperlink" Target="https://developers.cloudflare.com/cloudflare-one/networks/connectors/cloudflare-tunnel/do-more-with-tunnels/trycloudflare/" TargetMode="External"/><Relationship Id="rId16" Type="http://schemas.openxmlformats.org/officeDocument/2006/relationships/hyperlink" Target="https://ngrok.com/docs/pricing-limits/free-plan-limits" TargetMode="External"/><Relationship Id="rId17" Type="http://schemas.openxmlformats.org/officeDocument/2006/relationships/hyperlink" Target="https://docs.railway.com/networking/public-networking" TargetMode="External"/><Relationship Id="rId18" Type="http://schemas.openxmlformats.org/officeDocument/2006/relationships/hyperlink" Target="https://publications.jrc.ec.europa.eu/repository/handle/JRC140959" TargetMode="External"/><Relationship Id="rId19" Type="http://schemas.openxmlformats.org/officeDocument/2006/relationships/hyperlink" Target="https://github.com/remark13/horizon" TargetMode="External"/><Relationship Id="rId20" Type="http://schemas.openxmlformats.org/officeDocument/2006/relationships/hyperlink" Target="https://github.com/remark13/horizon/blob/main/README.md" TargetMode="External"/><Relationship Id="rId21" Type="http://schemas.openxmlformats.org/officeDocument/2006/relationships/hyperlink" Target="https://github.com/remark13/horizon/blob/main/SOURCE_SETUP.md" TargetMode="External"/><Relationship Id="rId22" Type="http://schemas.openxmlformats.org/officeDocument/2006/relationships/hyperlink" Target="https://github.com/remark13/horizon/actions/runs/36623897463" TargetMode="External"/><Relationship Id="rId23" Type="http://schemas.openxmlformats.org/officeDocument/2006/relationships/hyperlink" Target="https://github.com/remark13/horizon/blob/main/VALID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Документация системы</dc:title>
  <dc:subject>Руководство пользователя администратора и разработчика версии 0.4.65</dc:subject>
  <dc:creator/>
  <cp:keywords>Horizon, слабые сигналы, документация, руководство</cp:keywords>
  <dc:description/>
  <cp:lastModifiedBy/>
  <cp:revision>1</cp:revision>
  <dcterms:created xsi:type="dcterms:W3CDTF">2013-12-23T23:15:00Z</dcterms:created>
  <dcterms:modified xsi:type="dcterms:W3CDTF">2013-12-23T23:15:00Z</dcterms:modified>
  <cp:category/>
</cp:coreProperties>
</file>