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Westend Digital — Fase 3 | Gecombineerde onboarding &amp; Project Brief Generator v0.1</w:t>
      </w:r>
    </w:p>
    <w:p>
      <w:r>
        <w:rPr>
          <w:b/>
        </w:rPr>
        <w:t>Status:</w:t>
      </w:r>
      <w:r>
        <w:t xml:space="preserve"> UX-ontwerp ter review; Q1–Q4 afzonderlijk goedgekeurd.</w:t>
      </w:r>
    </w:p>
    <w:p>
      <w:r>
        <w:rPr>
          <w:b/>
        </w:rPr>
        <w:t>Datum:</w:t>
      </w:r>
      <w:r>
        <w:t xml:space="preserve"> 17 oktober 2026</w:t>
      </w:r>
    </w:p>
    <w:p>
      <w:r>
        <w:rPr>
          <w:b/>
        </w:rPr>
        <w:t>Scope:</w:t>
      </w:r>
      <w:r>
        <w:t xml:space="preserve"> klantonboarding, intakecontrole, Project Brief. Geen echte AI-uitvoering of backend in prototype.</w:t>
      </w:r>
    </w:p>
    <w:p>
      <w:pPr>
        <w:pStyle w:val="Heading1"/>
      </w:pPr>
      <w:r>
        <w:t>1. Productbesluit</w:t>
      </w:r>
    </w:p>
    <w:p>
      <w:r>
        <w:t xml:space="preserve">Vier bestaande vragenlijsten blijven hun eigen bron van waarheid; deze integratie is de gebruikslaag en outputtransformatie. Q1–Q4 samen tellen </w:t>
      </w:r>
      <w:r>
        <w:rPr>
          <w:b/>
        </w:rPr>
        <w:t>123 gedefinieerde velden, waarvan 70 als verplicht gemarkeerd in het bronschema</w:t>
      </w:r>
      <w:r>
        <w:t>, inclusief voorwaardelijk zichtbare velden. De daadwerkelijke aantallen zijn afhankelijk van antwoorden. Het zijn géén 123 verplichte klantacties. Het doel van 10–15 minuten voor de gehele intake is hierdoor niet vanzelfsprekend: tijdens vijf pilotklanten daadwerkelijke invultijd en uitval meten en zo nodig reduceren of bestaande websitegegevens voorinvullen.</w:t>
      </w:r>
    </w:p>
    <w:p>
      <w:pPr>
        <w:pStyle w:val="Heading1"/>
      </w:pPr>
      <w:r>
        <w:t>2. UX-informatiearchitectuur</w:t>
      </w:r>
    </w:p>
    <w:p>
      <w:r>
        <w:t>Een doorlopend klantportaal met vier hoofdstukken en één eindcontrole:</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shd w:fill="1B5260"/>
          </w:tcPr>
          <w:p>
            <w:r>
              <w:rPr>
                <w:b/>
                <w:color w:val="FFFFFF"/>
                <w:sz w:val="16"/>
              </w:rPr>
              <w:t>Hoofdstuk</w:t>
            </w:r>
          </w:p>
        </w:tc>
        <w:tc>
          <w:tcPr>
            <w:tcW w:type="dxa" w:w="2469"/>
            <w:shd w:fill="1B5260"/>
          </w:tcPr>
          <w:p>
            <w:r>
              <w:rPr>
                <w:b/>
                <w:color w:val="FFFFFF"/>
                <w:sz w:val="16"/>
              </w:rPr>
              <w:t>Aantal schermen</w:t>
            </w:r>
          </w:p>
        </w:tc>
        <w:tc>
          <w:tcPr>
            <w:tcW w:type="dxa" w:w="2469"/>
            <w:shd w:fill="1B5260"/>
          </w:tcPr>
          <w:p>
            <w:r>
              <w:rPr>
                <w:b/>
                <w:color w:val="FFFFFF"/>
                <w:sz w:val="16"/>
              </w:rPr>
              <w:t>Velden in bron</w:t>
            </w:r>
          </w:p>
        </w:tc>
        <w:tc>
          <w:tcPr>
            <w:tcW w:type="dxa" w:w="2469"/>
            <w:shd w:fill="1B5260"/>
          </w:tcPr>
          <w:p>
            <w:r>
              <w:rPr>
                <w:b/>
                <w:color w:val="FFFFFF"/>
                <w:sz w:val="16"/>
              </w:rPr>
              <w:t>Verplicht gemarkeerd</w:t>
            </w:r>
          </w:p>
        </w:tc>
      </w:tr>
      <w:tr>
        <w:tc>
          <w:tcPr>
            <w:tcW w:type="dxa" w:w="2469"/>
            <w:vAlign w:val="center"/>
          </w:tcPr>
          <w:p>
            <w:r>
              <w:rPr>
                <w:sz w:val="15"/>
              </w:rPr>
            </w:r>
            <w:r>
              <w:rPr>
                <w:sz w:val="15"/>
              </w:rPr>
              <w:t>Q1 — Kickoff &amp; Bedrijfsidentiteit</w:t>
            </w:r>
          </w:p>
        </w:tc>
        <w:tc>
          <w:tcPr>
            <w:tcW w:type="dxa" w:w="2469"/>
            <w:vAlign w:val="center"/>
          </w:tcPr>
          <w:p>
            <w:r>
              <w:rPr>
                <w:sz w:val="15"/>
              </w:rPr>
            </w:r>
            <w:r>
              <w:rPr>
                <w:sz w:val="15"/>
              </w:rPr>
              <w:t>5</w:t>
            </w:r>
          </w:p>
        </w:tc>
        <w:tc>
          <w:tcPr>
            <w:tcW w:type="dxa" w:w="2469"/>
            <w:vAlign w:val="center"/>
          </w:tcPr>
          <w:p>
            <w:r>
              <w:rPr>
                <w:sz w:val="15"/>
              </w:rPr>
            </w:r>
            <w:r>
              <w:rPr>
                <w:sz w:val="15"/>
              </w:rPr>
              <w:t>23</w:t>
            </w:r>
          </w:p>
        </w:tc>
        <w:tc>
          <w:tcPr>
            <w:tcW w:type="dxa" w:w="2469"/>
            <w:vAlign w:val="center"/>
          </w:tcPr>
          <w:p>
            <w:r>
              <w:rPr>
                <w:sz w:val="15"/>
              </w:rPr>
            </w:r>
            <w:r>
              <w:rPr>
                <w:sz w:val="15"/>
              </w:rPr>
              <w:t>12</w:t>
            </w:r>
          </w:p>
        </w:tc>
      </w:tr>
      <w:tr>
        <w:tc>
          <w:tcPr>
            <w:tcW w:type="dxa" w:w="2469"/>
            <w:vAlign w:val="center"/>
            <w:shd w:fill="F1F6F7"/>
          </w:tcPr>
          <w:p>
            <w:r>
              <w:rPr>
                <w:sz w:val="15"/>
              </w:rPr>
            </w:r>
            <w:r>
              <w:rPr>
                <w:sz w:val="15"/>
              </w:rPr>
              <w:t>Q2 — Doelgroep &amp; Klantinzichten</w:t>
            </w:r>
          </w:p>
        </w:tc>
        <w:tc>
          <w:tcPr>
            <w:tcW w:type="dxa" w:w="2469"/>
            <w:vAlign w:val="center"/>
            <w:shd w:fill="F1F6F7"/>
          </w:tcPr>
          <w:p>
            <w:r>
              <w:rPr>
                <w:sz w:val="15"/>
              </w:rPr>
            </w:r>
            <w:r>
              <w:rPr>
                <w:sz w:val="15"/>
              </w:rPr>
              <w:t>5</w:t>
            </w:r>
          </w:p>
        </w:tc>
        <w:tc>
          <w:tcPr>
            <w:tcW w:type="dxa" w:w="2469"/>
            <w:vAlign w:val="center"/>
            <w:shd w:fill="F1F6F7"/>
          </w:tcPr>
          <w:p>
            <w:r>
              <w:rPr>
                <w:sz w:val="15"/>
              </w:rPr>
            </w:r>
            <w:r>
              <w:rPr>
                <w:sz w:val="15"/>
              </w:rPr>
              <w:t>27</w:t>
            </w:r>
          </w:p>
        </w:tc>
        <w:tc>
          <w:tcPr>
            <w:tcW w:type="dxa" w:w="2469"/>
            <w:vAlign w:val="center"/>
            <w:shd w:fill="F1F6F7"/>
          </w:tcPr>
          <w:p>
            <w:r>
              <w:rPr>
                <w:sz w:val="15"/>
              </w:rPr>
            </w:r>
            <w:r>
              <w:rPr>
                <w:sz w:val="15"/>
              </w:rPr>
              <w:t>15</w:t>
            </w:r>
          </w:p>
        </w:tc>
      </w:tr>
      <w:tr>
        <w:tc>
          <w:tcPr>
            <w:tcW w:type="dxa" w:w="2469"/>
            <w:vAlign w:val="center"/>
          </w:tcPr>
          <w:p>
            <w:r>
              <w:rPr>
                <w:sz w:val="15"/>
              </w:rPr>
            </w:r>
            <w:r>
              <w:rPr>
                <w:sz w:val="15"/>
              </w:rPr>
              <w:t>Q3 — Aanbod &amp; Verdienmodel</w:t>
            </w:r>
          </w:p>
        </w:tc>
        <w:tc>
          <w:tcPr>
            <w:tcW w:type="dxa" w:w="2469"/>
            <w:vAlign w:val="center"/>
          </w:tcPr>
          <w:p>
            <w:r>
              <w:rPr>
                <w:sz w:val="15"/>
              </w:rPr>
            </w:r>
            <w:r>
              <w:rPr>
                <w:sz w:val="15"/>
              </w:rPr>
              <w:t>5</w:t>
            </w:r>
          </w:p>
        </w:tc>
        <w:tc>
          <w:tcPr>
            <w:tcW w:type="dxa" w:w="2469"/>
            <w:vAlign w:val="center"/>
          </w:tcPr>
          <w:p>
            <w:r>
              <w:rPr>
                <w:sz w:val="15"/>
              </w:rPr>
            </w:r>
            <w:r>
              <w:rPr>
                <w:sz w:val="15"/>
              </w:rPr>
              <w:t>35</w:t>
            </w:r>
          </w:p>
        </w:tc>
        <w:tc>
          <w:tcPr>
            <w:tcW w:type="dxa" w:w="2469"/>
            <w:vAlign w:val="center"/>
          </w:tcPr>
          <w:p>
            <w:r>
              <w:rPr>
                <w:sz w:val="15"/>
              </w:rPr>
            </w:r>
            <w:r>
              <w:rPr>
                <w:sz w:val="15"/>
              </w:rPr>
              <w:t>21</w:t>
            </w:r>
          </w:p>
        </w:tc>
      </w:tr>
      <w:tr>
        <w:tc>
          <w:tcPr>
            <w:tcW w:type="dxa" w:w="2469"/>
            <w:vAlign w:val="center"/>
            <w:shd w:fill="F1F6F7"/>
          </w:tcPr>
          <w:p>
            <w:r>
              <w:rPr>
                <w:sz w:val="15"/>
              </w:rPr>
            </w:r>
            <w:r>
              <w:rPr>
                <w:sz w:val="15"/>
              </w:rPr>
              <w:t>Q4 — Branding, Content &amp; Assets</w:t>
            </w:r>
          </w:p>
        </w:tc>
        <w:tc>
          <w:tcPr>
            <w:tcW w:type="dxa" w:w="2469"/>
            <w:vAlign w:val="center"/>
            <w:shd w:fill="F1F6F7"/>
          </w:tcPr>
          <w:p>
            <w:r>
              <w:rPr>
                <w:sz w:val="15"/>
              </w:rPr>
            </w:r>
            <w:r>
              <w:rPr>
                <w:sz w:val="15"/>
              </w:rPr>
              <w:t>5</w:t>
            </w:r>
          </w:p>
        </w:tc>
        <w:tc>
          <w:tcPr>
            <w:tcW w:type="dxa" w:w="2469"/>
            <w:vAlign w:val="center"/>
            <w:shd w:fill="F1F6F7"/>
          </w:tcPr>
          <w:p>
            <w:r>
              <w:rPr>
                <w:sz w:val="15"/>
              </w:rPr>
            </w:r>
            <w:r>
              <w:rPr>
                <w:sz w:val="15"/>
              </w:rPr>
              <w:t>38</w:t>
            </w:r>
          </w:p>
        </w:tc>
        <w:tc>
          <w:tcPr>
            <w:tcW w:type="dxa" w:w="2469"/>
            <w:vAlign w:val="center"/>
            <w:shd w:fill="F1F6F7"/>
          </w:tcPr>
          <w:p>
            <w:r>
              <w:rPr>
                <w:sz w:val="15"/>
              </w:rPr>
            </w:r>
            <w:r>
              <w:rPr>
                <w:sz w:val="15"/>
              </w:rPr>
              <w:t>22</w:t>
            </w:r>
          </w:p>
        </w:tc>
      </w:tr>
      <w:tr>
        <w:tc>
          <w:tcPr>
            <w:tcW w:type="dxa" w:w="2469"/>
            <w:vAlign w:val="center"/>
          </w:tcPr>
          <w:p>
            <w:r>
              <w:rPr>
                <w:sz w:val="15"/>
              </w:rPr>
            </w:r>
            <w:r>
              <w:rPr>
                <w:sz w:val="15"/>
              </w:rPr>
              <w:t>Eindcontrole &amp; Project Brief</w:t>
            </w:r>
          </w:p>
        </w:tc>
        <w:tc>
          <w:tcPr>
            <w:tcW w:type="dxa" w:w="2469"/>
            <w:vAlign w:val="center"/>
          </w:tcPr>
          <w:p>
            <w:r>
              <w:rPr>
                <w:sz w:val="15"/>
              </w:rPr>
            </w:r>
            <w:r>
              <w:rPr>
                <w:sz w:val="15"/>
              </w:rPr>
              <w:t>1</w:t>
            </w:r>
          </w:p>
        </w:tc>
        <w:tc>
          <w:tcPr>
            <w:tcW w:type="dxa" w:w="2469"/>
            <w:vAlign w:val="center"/>
          </w:tcPr>
          <w:p>
            <w:r>
              <w:rPr>
                <w:sz w:val="15"/>
              </w:rPr>
            </w:r>
            <w:r>
              <w:rPr>
                <w:sz w:val="15"/>
              </w:rPr>
              <w:t>—</w:t>
            </w:r>
          </w:p>
        </w:tc>
        <w:tc>
          <w:tcPr>
            <w:tcW w:type="dxa" w:w="2469"/>
            <w:vAlign w:val="center"/>
          </w:tcPr>
          <w:p>
            <w:r>
              <w:rPr>
                <w:sz w:val="15"/>
              </w:rPr>
            </w:r>
            <w:r>
              <w:rPr>
                <w:sz w:val="15"/>
              </w:rPr>
              <w:t>—</w:t>
            </w:r>
          </w:p>
        </w:tc>
      </w:tr>
    </w:tbl>
    <w:p>
      <w:pPr>
        <w:spacing w:after="0"/>
      </w:pPr>
    </w:p>
    <w:p>
      <w:r>
        <w:rPr>
          <w:b/>
        </w:rPr>
        <w:t>Navigatie:</w:t>
      </w:r>
      <w:r>
        <w:t xml:space="preserve"> zijmenu op desktop, horizontale vier-vragenlijstnavigatie op mobiel, doorlopende voortgang per fase, Vorige/Volgende, bijbehorende foutmeldingen, reviewnavigatie naar onvolledige items. Niet-verplichte vragen mogen leeg blijven. Niet-relevante conditionele velden verdwijnen bij gewijzigde antwoorden en mogen niet in de definitieve output terechtkomen.</w:t>
      </w:r>
    </w:p>
    <w:p>
      <w:r>
        <w:rPr>
          <w:b/>
        </w:rPr>
        <w:t>Opslaan:</w:t>
      </w:r>
      <w:r>
        <w:t xml:space="preserve"> de klikdemo bewaart uitsluitend lokaal in de browser (</w:t>
      </w:r>
      <w:r>
        <w:rPr>
          <w:rFonts w:ascii="Consolas" w:hAnsi="Consolas"/>
          <w:color w:val="1F6B6A"/>
          <w:sz w:val="16"/>
        </w:rPr>
        <w:t>localStorage</w:t>
      </w:r>
      <w:r>
        <w:t>); gebruikers mogen daarin geen echte vertrouwelijke informatie plaatsen. In productie wordt dit vervangen door beveiligde opslag op de server met tenantautorisatie, versies, conceptstatus, uploadbeleid en auditlog.</w:t>
      </w:r>
    </w:p>
    <w:p>
      <w:pPr>
        <w:pStyle w:val="Heading1"/>
      </w:pPr>
      <w:r>
        <w:t>3. Eindcontrole en statusmodel</w:t>
      </w:r>
    </w:p>
    <w:p>
      <w:r>
        <w:t>De klant kan op elk moment naar de eindcontrole. Daar worden de vier hoofdstukken getoond met compleetheid, openstaande verplichte antwoorden en actuele reviewpunten. Definitief indienen is pas mogelijk wanneer alle zichtbare verplichte velden geldig zijn.</w:t>
      </w:r>
    </w:p>
    <w:p>
      <w:pPr>
        <w:pStyle w:val="ListBullet"/>
      </w:pPr>
      <w:r>
        <w:rPr>
          <w:rFonts w:ascii="Consolas" w:hAnsi="Consolas"/>
          <w:color w:val="1F6B6A"/>
          <w:sz w:val="16"/>
        </w:rPr>
        <w:t>draft</w:t>
      </w:r>
      <w:r>
        <w:t>: tussentijds opgeslagen; klant kan verder.</w:t>
      </w:r>
    </w:p>
    <w:p>
      <w:pPr>
        <w:pStyle w:val="ListBullet"/>
      </w:pPr>
      <w:r>
        <w:rPr>
          <w:rFonts w:ascii="Consolas" w:hAnsi="Consolas"/>
          <w:color w:val="1F6B6A"/>
          <w:sz w:val="16"/>
        </w:rPr>
        <w:t>submitted</w:t>
      </w:r>
      <w:r>
        <w:t>: ingediend, velden vergrendeld of gecontroleerd heropend voor wijzigingen.</w:t>
      </w:r>
    </w:p>
    <w:p>
      <w:pPr>
        <w:pStyle w:val="ListBullet"/>
      </w:pPr>
      <w:r>
        <w:rPr>
          <w:rFonts w:ascii="Consolas" w:hAnsi="Consolas"/>
          <w:color w:val="1F6B6A"/>
          <w:sz w:val="16"/>
        </w:rPr>
        <w:t>review_needed</w:t>
      </w:r>
      <w:r>
        <w:t>: Westend vraagt gerichte aanvullende input/onderbouwing.</w:t>
      </w:r>
    </w:p>
    <w:p>
      <w:pPr>
        <w:pStyle w:val="ListBullet"/>
      </w:pPr>
      <w:r>
        <w:rPr>
          <w:rFonts w:ascii="Consolas" w:hAnsi="Consolas"/>
          <w:color w:val="1F6B6A"/>
          <w:sz w:val="16"/>
        </w:rPr>
        <w:t>blocked</w:t>
      </w:r>
      <w:r>
        <w:t>: kritische basis ontbreekt, bijvoorbeeld ontbreken bestaande branding binnen standaardpakket.</w:t>
      </w:r>
    </w:p>
    <w:p>
      <w:pPr>
        <w:pStyle w:val="ListBullet"/>
      </w:pPr>
      <w:r>
        <w:rPr>
          <w:rFonts w:ascii="Consolas" w:hAnsi="Consolas"/>
          <w:color w:val="1F6B6A"/>
          <w:sz w:val="16"/>
        </w:rPr>
        <w:t>approved</w:t>
      </w:r>
      <w:r>
        <w:t>: alleen Westend zet deze status na handmatige controle.</w:t>
      </w:r>
    </w:p>
    <w:p>
      <w:r>
        <w:rPr>
          <w:b/>
        </w:rPr>
        <w:t>Belangrijk:</w:t>
      </w:r>
      <w:r>
        <w:t xml:space="preserve"> de klikdemo gebruikt </w:t>
      </w:r>
      <w:r>
        <w:rPr>
          <w:rFonts w:ascii="Consolas" w:hAnsi="Consolas"/>
          <w:color w:val="1F6B6A"/>
          <w:sz w:val="16"/>
        </w:rPr>
        <w:t>submitted_demo</w:t>
      </w:r>
      <w:r>
        <w:t>, geen echte statusovergang of workflow. Er worden geen bestandsbytes naar een server gestuurd.</w:t>
      </w:r>
    </w:p>
    <w:p>
      <w:pPr>
        <w:pStyle w:val="Heading1"/>
      </w:pPr>
      <w:r>
        <w:t>4. Project Brief Generator — outputcontract</w:t>
      </w:r>
    </w:p>
    <w:p>
      <w:r>
        <w:rPr>
          <w:b/>
        </w:rPr>
        <w:t>Input:</w:t>
      </w:r>
      <w:r>
        <w:t xml:space="preserve"> gevalideerde Q1–Q4-antwoorden met exact schema-ID en versie, plus veilige assetreferenties. </w:t>
      </w:r>
      <w:r>
        <w:rPr>
          <w:b/>
        </w:rPr>
        <w:t>Output:</w:t>
      </w:r>
      <w:r>
        <w:t xml:space="preserve"> één herleidbare, stackneutrale JSON Project Brief. De generator herschikt feiten; hij mag </w:t>
      </w:r>
      <w:r>
        <w:rPr>
          <w:b/>
        </w:rPr>
        <w:t>geen conclusies, zoekvolumes, juridische zekerheid of garanties fabriceren</w:t>
      </w:r>
      <w:r>
        <w:t>.</w:t>
      </w:r>
    </w:p>
    <w:p>
      <w:pPr>
        <w:pStyle w:val="ListBullet"/>
      </w:pPr>
      <w:r>
        <w:rPr>
          <w:rFonts w:ascii="Consolas" w:hAnsi="Consolas"/>
          <w:color w:val="1F6B6A"/>
          <w:sz w:val="16"/>
        </w:rPr>
        <w:t>client_supplied</w:t>
      </w:r>
      <w:r>
        <w:t xml:space="preserve">: geneste domeinen </w:t>
      </w:r>
      <w:r>
        <w:rPr>
          <w:rFonts w:ascii="Consolas" w:hAnsi="Consolas"/>
          <w:color w:val="1F6B6A"/>
          <w:sz w:val="16"/>
        </w:rPr>
        <w:t>business</w:t>
      </w:r>
      <w:r>
        <w:t xml:space="preserve">, </w:t>
      </w:r>
      <w:r>
        <w:rPr>
          <w:rFonts w:ascii="Consolas" w:hAnsi="Consolas"/>
          <w:color w:val="1F6B6A"/>
          <w:sz w:val="16"/>
        </w:rPr>
        <w:t>story</w:t>
      </w:r>
      <w:r>
        <w:t xml:space="preserve">, </w:t>
      </w:r>
      <w:r>
        <w:rPr>
          <w:rFonts w:ascii="Consolas" w:hAnsi="Consolas"/>
          <w:color w:val="1F6B6A"/>
          <w:sz w:val="16"/>
        </w:rPr>
        <w:t>authority</w:t>
      </w:r>
      <w:r>
        <w:t xml:space="preserve">, </w:t>
      </w:r>
      <w:r>
        <w:rPr>
          <w:rFonts w:ascii="Consolas" w:hAnsi="Consolas"/>
          <w:color w:val="1F6B6A"/>
          <w:sz w:val="16"/>
        </w:rPr>
        <w:t>positioning</w:t>
      </w:r>
      <w:r>
        <w:t xml:space="preserve">, </w:t>
      </w:r>
      <w:r>
        <w:rPr>
          <w:rFonts w:ascii="Consolas" w:hAnsi="Consolas"/>
          <w:color w:val="1F6B6A"/>
          <w:sz w:val="16"/>
        </w:rPr>
        <w:t>voice</w:t>
      </w:r>
      <w:r>
        <w:t xml:space="preserve">, </w:t>
      </w:r>
      <w:r>
        <w:rPr>
          <w:rFonts w:ascii="Consolas" w:hAnsi="Consolas"/>
          <w:color w:val="1F6B6A"/>
          <w:sz w:val="16"/>
        </w:rPr>
        <w:t>audience</w:t>
      </w:r>
      <w:r>
        <w:t xml:space="preserve">, </w:t>
      </w:r>
      <w:r>
        <w:rPr>
          <w:rFonts w:ascii="Consolas" w:hAnsi="Consolas"/>
          <w:color w:val="1F6B6A"/>
          <w:sz w:val="16"/>
        </w:rPr>
        <w:t>offer</w:t>
      </w:r>
      <w:r>
        <w:t xml:space="preserve">, </w:t>
      </w:r>
      <w:r>
        <w:rPr>
          <w:rFonts w:ascii="Consolas" w:hAnsi="Consolas"/>
          <w:color w:val="1F6B6A"/>
          <w:sz w:val="16"/>
        </w:rPr>
        <w:t>funnel</w:t>
      </w:r>
      <w:r>
        <w:t xml:space="preserve">, </w:t>
      </w:r>
      <w:r>
        <w:rPr>
          <w:rFonts w:ascii="Consolas" w:hAnsi="Consolas"/>
          <w:color w:val="1F6B6A"/>
          <w:sz w:val="16"/>
        </w:rPr>
        <w:t>evidence</w:t>
      </w:r>
      <w:r>
        <w:t xml:space="preserve">, </w:t>
      </w:r>
      <w:r>
        <w:rPr>
          <w:rFonts w:ascii="Consolas" w:hAnsi="Consolas"/>
          <w:color w:val="1F6B6A"/>
          <w:sz w:val="16"/>
        </w:rPr>
        <w:t>brand</w:t>
      </w:r>
      <w:r>
        <w:t xml:space="preserve">, </w:t>
      </w:r>
      <w:r>
        <w:rPr>
          <w:rFonts w:ascii="Consolas" w:hAnsi="Consolas"/>
          <w:color w:val="1F6B6A"/>
          <w:sz w:val="16"/>
        </w:rPr>
        <w:t>assets</w:t>
      </w:r>
      <w:r>
        <w:t xml:space="preserve">, </w:t>
      </w:r>
      <w:r>
        <w:rPr>
          <w:rFonts w:ascii="Consolas" w:hAnsi="Consolas"/>
          <w:color w:val="1F6B6A"/>
          <w:sz w:val="16"/>
        </w:rPr>
        <w:t>technical</w:t>
      </w:r>
      <w:r>
        <w:t xml:space="preserve">, </w:t>
      </w:r>
      <w:r>
        <w:rPr>
          <w:rFonts w:ascii="Consolas" w:hAnsi="Consolas"/>
          <w:color w:val="1F6B6A"/>
          <w:sz w:val="16"/>
        </w:rPr>
        <w:t>commercial</w:t>
      </w:r>
      <w:r>
        <w:t xml:space="preserve"> volgens het bestaande </w:t>
      </w:r>
      <w:r>
        <w:rPr>
          <w:rFonts w:ascii="Consolas" w:hAnsi="Consolas"/>
          <w:color w:val="1F6B6A"/>
          <w:sz w:val="16"/>
        </w:rPr>
        <w:t>mapping</w:t>
      </w:r>
      <w:r>
        <w:t>-pad.</w:t>
      </w:r>
    </w:p>
    <w:p>
      <w:pPr>
        <w:pStyle w:val="ListBullet"/>
      </w:pPr>
      <w:r>
        <w:rPr>
          <w:rFonts w:ascii="Consolas" w:hAnsi="Consolas"/>
          <w:color w:val="1F6B6A"/>
          <w:sz w:val="16"/>
        </w:rPr>
        <w:t>provenance</w:t>
      </w:r>
      <w:r>
        <w:t>: per waarde bronvragenlijst, veld-ID, versie en verificatiestatus; provenance is niet gelijk aan externe verificatie.</w:t>
      </w:r>
    </w:p>
    <w:p>
      <w:pPr>
        <w:pStyle w:val="ListBullet"/>
      </w:pPr>
      <w:r>
        <w:rPr>
          <w:rFonts w:ascii="Consolas" w:hAnsi="Consolas"/>
          <w:color w:val="1F6B6A"/>
          <w:sz w:val="16"/>
        </w:rPr>
        <w:t>review.required_fields_missing</w:t>
      </w:r>
      <w:r>
        <w:t>: ontbrekende of ongeldige zichtbare verplichte antwoorden.</w:t>
      </w:r>
    </w:p>
    <w:p>
      <w:pPr>
        <w:pStyle w:val="ListBullet"/>
      </w:pPr>
      <w:r>
        <w:rPr>
          <w:rFonts w:ascii="Consolas" w:hAnsi="Consolas"/>
          <w:color w:val="1F6B6A"/>
          <w:sz w:val="16"/>
        </w:rPr>
        <w:t>review.flags</w:t>
      </w:r>
      <w:r>
        <w:t>: automatisch gedetecteerde mogelijke problemen of meerwerkverzoeken.</w:t>
      </w:r>
    </w:p>
    <w:p>
      <w:pPr>
        <w:pStyle w:val="ListBullet"/>
      </w:pPr>
      <w:r>
        <w:rPr>
          <w:rFonts w:ascii="Consolas" w:hAnsi="Consolas"/>
          <w:color w:val="1F6B6A"/>
          <w:sz w:val="16"/>
        </w:rPr>
        <w:t>review.claim_verification</w:t>
      </w:r>
      <w:r>
        <w:t xml:space="preserve">, </w:t>
      </w:r>
      <w:r>
        <w:rPr>
          <w:rFonts w:ascii="Consolas" w:hAnsi="Consolas"/>
          <w:color w:val="1F6B6A"/>
          <w:sz w:val="16"/>
        </w:rPr>
        <w:t>asset_rights_approval</w:t>
      </w:r>
      <w:r>
        <w:t xml:space="preserve">, </w:t>
      </w:r>
      <w:r>
        <w:rPr>
          <w:rFonts w:ascii="Consolas" w:hAnsi="Consolas"/>
          <w:color w:val="1F6B6A"/>
          <w:sz w:val="16"/>
        </w:rPr>
        <w:t>scope_approval</w:t>
      </w:r>
      <w:r>
        <w:t xml:space="preserve">, </w:t>
      </w:r>
      <w:r>
        <w:rPr>
          <w:rFonts w:ascii="Consolas" w:hAnsi="Consolas"/>
          <w:color w:val="1F6B6A"/>
          <w:sz w:val="16"/>
        </w:rPr>
        <w:t>strategy_approval</w:t>
      </w:r>
      <w:r>
        <w:t xml:space="preserve">: blijven </w:t>
      </w:r>
      <w:r>
        <w:rPr>
          <w:rFonts w:ascii="Consolas" w:hAnsi="Consolas"/>
          <w:color w:val="1F6B6A"/>
          <w:sz w:val="16"/>
        </w:rPr>
        <w:t>pending</w:t>
      </w:r>
      <w:r>
        <w:t xml:space="preserve"> tot menselijke beoordeling.</w:t>
      </w:r>
    </w:p>
    <w:p>
      <w:pPr>
        <w:pStyle w:val="ListBullet"/>
      </w:pPr>
      <w:r>
        <w:rPr>
          <w:rFonts w:ascii="Consolas" w:hAnsi="Consolas"/>
          <w:color w:val="1F6B6A"/>
          <w:sz w:val="16"/>
        </w:rPr>
        <w:t>status</w:t>
      </w:r>
      <w:r>
        <w:t xml:space="preserve">: </w:t>
      </w:r>
      <w:r>
        <w:rPr>
          <w:rFonts w:ascii="Consolas" w:hAnsi="Consolas"/>
          <w:color w:val="1F6B6A"/>
          <w:sz w:val="16"/>
        </w:rPr>
        <w:t>incomplete_draft</w:t>
      </w:r>
      <w:r>
        <w:t xml:space="preserve"> of </w:t>
      </w:r>
      <w:r>
        <w:rPr>
          <w:rFonts w:ascii="Consolas" w:hAnsi="Consolas"/>
          <w:color w:val="1F6B6A"/>
          <w:sz w:val="16"/>
        </w:rPr>
        <w:t>ready_for_westend_review</w:t>
      </w:r>
      <w:r>
        <w:t xml:space="preserve">, </w:t>
      </w:r>
      <w:r>
        <w:rPr>
          <w:b/>
        </w:rPr>
        <w:t>nooit automatisch `approved_for_build`</w:t>
      </w:r>
      <w:r>
        <w:t>.</w:t>
      </w:r>
    </w:p>
    <w:p>
      <w:r>
        <w:rPr>
          <w:b/>
        </w:rPr>
        <w:t>Reviewflags:</w:t>
      </w:r>
      <w:r>
        <w:t xml:space="preserve"> ontbrekende branding; branding- of fotografieofferte; rechten/portrettoestemming; privacy/cookies; bestaande URL's en redirects; mogelijke bewijsclaims; aansluiting Q2-doelgroep op Q3-aanbod; GA4/GSC/Clarity-koppelingen. Flags zijn </w:t>
      </w:r>
      <w:r>
        <w:rPr>
          <w:i/>
        </w:rPr>
        <w:t>werkhypothesen</w:t>
      </w:r>
      <w:r>
        <w:t xml:space="preserve"> en vervangen geen menselijke controle.</w:t>
      </w:r>
    </w:p>
    <w:p>
      <w:pPr>
        <w:pStyle w:val="Heading1"/>
      </w:pPr>
      <w:r>
        <w:t>5. Grenzen standaardpakket</w:t>
      </w:r>
    </w:p>
    <w:p>
      <w:r>
        <w:t>Bestaande branding wordt vertaald naar digitale design tokens. Nieuwe branding of fotografie gebeurt alleen na een aparte offerte. Een ontbrekende bestaande merkidentiteit mag niet stilzwijgend leiden tot een gratis rebranding. Websitevarianten gebruiken goedgekeurde Westend-componenten en referenties, met respect voor rechten op klantmateriaal.</w:t>
      </w:r>
    </w:p>
    <w:p>
      <w:r>
        <w:t xml:space="preserve">Q4 verzamelt gegevens over domein, analytics en content, maar </w:t>
      </w:r>
      <w:r>
        <w:rPr>
          <w:b/>
        </w:rPr>
        <w:t>geen wachtwoorden, API-sleutels of directe privacysensitieve bezoekersgegevens</w:t>
      </w:r>
      <w:r>
        <w:t>. De uiteindelijke connectiestap voor GA4, GSC en Clarity wordt later via veilige autorisatie ontworpen.</w:t>
      </w:r>
    </w:p>
    <w:p>
      <w:pPr>
        <w:pStyle w:val="Heading1"/>
      </w:pPr>
      <w:r>
        <w:t>6. Overdracht naar AI Website Production Pipeline</w:t>
      </w:r>
    </w:p>
    <w:p>
      <w:pPr>
        <w:spacing w:after="0"/>
      </w:pPr>
      <w:r>
        <w:rPr>
          <w:rFonts w:ascii="Consolas" w:hAnsi="Consolas"/>
          <w:color w:val="2D5F66"/>
          <w:sz w:val="16"/>
        </w:rPr>
        <w:t>Klant Q1–Q4 → Validatie → Project Brief v0.1 → Human intake review</w:t>
      </w:r>
    </w:p>
    <w:p>
      <w:pPr>
        <w:spacing w:after="0"/>
      </w:pPr>
      <w:r>
        <w:rPr>
          <w:rFonts w:ascii="Consolas" w:hAnsi="Consolas"/>
          <w:color w:val="2D5F66"/>
          <w:sz w:val="16"/>
        </w:rPr>
        <w:t xml:space="preserve">  → Strategie &amp; scope GO/NO-GO → SEO/GEO + copy + designconfig</w:t>
      </w:r>
    </w:p>
    <w:p>
      <w:pPr>
        <w:spacing w:after="0"/>
      </w:pPr>
      <w:r>
        <w:rPr>
          <w:rFonts w:ascii="Consolas" w:hAnsi="Consolas"/>
          <w:color w:val="2D5F66"/>
          <w:sz w:val="16"/>
        </w:rPr>
        <w:t xml:space="preserve">  → Website assembler uit Component Library → Integraties → QA</w:t>
      </w:r>
    </w:p>
    <w:p>
      <w:pPr>
        <w:spacing w:after="0"/>
      </w:pPr>
      <w:r>
        <w:rPr>
          <w:rFonts w:ascii="Consolas" w:hAnsi="Consolas"/>
          <w:color w:val="2D5F66"/>
          <w:sz w:val="16"/>
        </w:rPr>
        <w:t xml:space="preserve">  → Human + klantakkoord → Publicatie → Monitoring</w:t>
      </w:r>
    </w:p>
    <w:p>
      <w:r>
        <w:rPr>
          <w:b/>
        </w:rPr>
        <w:t>Geen 12 aparte agents nodig.</w:t>
      </w:r>
      <w:r>
        <w:t xml:space="preserve"> Agentgrenzen, prompts en tools worden pas in Fase 4/5 definitief gekozen. Bij iedere stap moet de gedeelde Project Brief en de laatst goedgekeurde versie worden gebruikt; na inhoudelijke klantwijzigingen herzien we downstream outputs.</w:t>
      </w:r>
    </w:p>
    <w:p>
      <w:pPr>
        <w:pStyle w:val="Heading1"/>
      </w:pPr>
      <w:r>
        <w:t>7. Functionele eisen voor productie</w:t>
      </w:r>
    </w:p>
    <w:tbl>
      <w:tblPr>
        <w:tblStyle w:val="TableGrid"/>
        <w:tblW w:type="auto" w:w="0"/>
        <w:jc w:val="center"/>
        <w:tblLook w:firstColumn="1" w:firstRow="1" w:lastColumn="0" w:lastRow="0" w:noHBand="0" w:noVBand="1" w:val="04A0"/>
      </w:tblPr>
      <w:tblGrid>
        <w:gridCol w:w="4939"/>
        <w:gridCol w:w="4939"/>
      </w:tblGrid>
      <w:tr>
        <w:tc>
          <w:tcPr>
            <w:tcW w:type="dxa" w:w="4939"/>
            <w:shd w:fill="1B5260"/>
          </w:tcPr>
          <w:p>
            <w:r>
              <w:rPr>
                <w:b/>
                <w:color w:val="FFFFFF"/>
                <w:sz w:val="16"/>
              </w:rPr>
              <w:t>ID</w:t>
            </w:r>
          </w:p>
        </w:tc>
        <w:tc>
          <w:tcPr>
            <w:tcW w:type="dxa" w:w="4939"/>
            <w:shd w:fill="1B5260"/>
          </w:tcPr>
          <w:p>
            <w:r>
              <w:rPr>
                <w:b/>
                <w:color w:val="FFFFFF"/>
                <w:sz w:val="16"/>
              </w:rPr>
              <w:t>Eis</w:t>
            </w:r>
          </w:p>
        </w:tc>
      </w:tr>
      <w:tr>
        <w:tc>
          <w:tcPr>
            <w:tcW w:type="dxa" w:w="4939"/>
            <w:vAlign w:val="center"/>
          </w:tcPr>
          <w:p>
            <w:r>
              <w:rPr>
                <w:sz w:val="17"/>
              </w:rPr>
            </w:r>
            <w:r>
              <w:rPr>
                <w:sz w:val="17"/>
              </w:rPr>
              <w:t>UX-01</w:t>
            </w:r>
          </w:p>
        </w:tc>
        <w:tc>
          <w:tcPr>
            <w:tcW w:type="dxa" w:w="4939"/>
            <w:vAlign w:val="center"/>
          </w:tcPr>
          <w:p>
            <w:r>
              <w:rPr>
                <w:sz w:val="17"/>
              </w:rPr>
            </w:r>
            <w:r>
              <w:rPr>
                <w:sz w:val="17"/>
              </w:rPr>
              <w:t>Navigatie zonder gegevensverlies tussen 20 formulierschermen en eindcontrole.</w:t>
            </w:r>
          </w:p>
        </w:tc>
      </w:tr>
      <w:tr>
        <w:tc>
          <w:tcPr>
            <w:tcW w:type="dxa" w:w="4939"/>
            <w:vAlign w:val="center"/>
            <w:shd w:fill="F1F6F7"/>
          </w:tcPr>
          <w:p>
            <w:r>
              <w:rPr>
                <w:sz w:val="17"/>
              </w:rPr>
            </w:r>
            <w:r>
              <w:rPr>
                <w:sz w:val="17"/>
              </w:rPr>
              <w:t>UX-02</w:t>
            </w:r>
          </w:p>
        </w:tc>
        <w:tc>
          <w:tcPr>
            <w:tcW w:type="dxa" w:w="4939"/>
            <w:vAlign w:val="center"/>
            <w:shd w:fill="F1F6F7"/>
          </w:tcPr>
          <w:p>
            <w:r>
              <w:rPr>
                <w:sz w:val="17"/>
              </w:rPr>
            </w:r>
            <w:r>
              <w:rPr>
                <w:sz w:val="17"/>
              </w:rPr>
              <w:t>Concept opslaan/hervatten met tenant- en gebruikersautorisatie; geen afhankelijkheid van browseropslag in productie.</w:t>
            </w:r>
          </w:p>
        </w:tc>
      </w:tr>
      <w:tr>
        <w:tc>
          <w:tcPr>
            <w:tcW w:type="dxa" w:w="4939"/>
            <w:vAlign w:val="center"/>
          </w:tcPr>
          <w:p>
            <w:r>
              <w:rPr>
                <w:sz w:val="17"/>
              </w:rPr>
            </w:r>
            <w:r>
              <w:rPr>
                <w:sz w:val="17"/>
              </w:rPr>
              <w:t>UX-03</w:t>
            </w:r>
          </w:p>
        </w:tc>
        <w:tc>
          <w:tcPr>
            <w:tcW w:type="dxa" w:w="4939"/>
            <w:vAlign w:val="center"/>
          </w:tcPr>
          <w:p>
            <w:r>
              <w:rPr>
                <w:sz w:val="17"/>
              </w:rPr>
            </w:r>
            <w:r>
              <w:rPr>
                <w:sz w:val="17"/>
              </w:rPr>
              <w:t>Per veld dezelfde validatie als de vastgestelde Q1–Q4-schema's, incl. conditioneel verplicht.</w:t>
            </w:r>
          </w:p>
        </w:tc>
      </w:tr>
      <w:tr>
        <w:tc>
          <w:tcPr>
            <w:tcW w:type="dxa" w:w="4939"/>
            <w:vAlign w:val="center"/>
            <w:shd w:fill="F1F6F7"/>
          </w:tcPr>
          <w:p>
            <w:r>
              <w:rPr>
                <w:sz w:val="17"/>
              </w:rPr>
            </w:r>
            <w:r>
              <w:rPr>
                <w:sz w:val="17"/>
              </w:rPr>
              <w:t>UX-04</w:t>
            </w:r>
          </w:p>
        </w:tc>
        <w:tc>
          <w:tcPr>
            <w:tcW w:type="dxa" w:w="4939"/>
            <w:vAlign w:val="center"/>
            <w:shd w:fill="F1F6F7"/>
          </w:tcPr>
          <w:p>
            <w:r>
              <w:rPr>
                <w:sz w:val="17"/>
              </w:rPr>
            </w:r>
            <w:r>
              <w:rPr>
                <w:sz w:val="17"/>
              </w:rPr>
              <w:t>Verborgen conditionele velden worden niet opgenomen in geserialiseerde outputs.</w:t>
            </w:r>
          </w:p>
        </w:tc>
      </w:tr>
      <w:tr>
        <w:tc>
          <w:tcPr>
            <w:tcW w:type="dxa" w:w="4939"/>
            <w:vAlign w:val="center"/>
          </w:tcPr>
          <w:p>
            <w:r>
              <w:rPr>
                <w:sz w:val="17"/>
              </w:rPr>
            </w:r>
            <w:r>
              <w:rPr>
                <w:sz w:val="17"/>
              </w:rPr>
              <w:t>UX-05</w:t>
            </w:r>
          </w:p>
        </w:tc>
        <w:tc>
          <w:tcPr>
            <w:tcW w:type="dxa" w:w="4939"/>
            <w:vAlign w:val="center"/>
          </w:tcPr>
          <w:p>
            <w:r>
              <w:rPr>
                <w:sz w:val="17"/>
              </w:rPr>
            </w:r>
            <w:r>
              <w:rPr>
                <w:sz w:val="17"/>
              </w:rPr>
              <w:t>Meerkeuzes met exclusieve opties (zoals ‘geen’) zijn onderling uitsluitend.</w:t>
            </w:r>
          </w:p>
        </w:tc>
      </w:tr>
      <w:tr>
        <w:tc>
          <w:tcPr>
            <w:tcW w:type="dxa" w:w="4939"/>
            <w:vAlign w:val="center"/>
            <w:shd w:fill="F1F6F7"/>
          </w:tcPr>
          <w:p>
            <w:r>
              <w:rPr>
                <w:sz w:val="17"/>
              </w:rPr>
            </w:r>
            <w:r>
              <w:rPr>
                <w:sz w:val="17"/>
              </w:rPr>
              <w:t>UX-06</w:t>
            </w:r>
          </w:p>
        </w:tc>
        <w:tc>
          <w:tcPr>
            <w:tcW w:type="dxa" w:w="4939"/>
            <w:vAlign w:val="center"/>
            <w:shd w:fill="F1F6F7"/>
          </w:tcPr>
          <w:p>
            <w:r>
              <w:rPr>
                <w:sz w:val="17"/>
              </w:rPr>
            </w:r>
            <w:r>
              <w:rPr>
                <w:sz w:val="17"/>
              </w:rPr>
              <w:t>Q3 aanvullende diensten max. twee, met eigen itemvalidatie.</w:t>
            </w:r>
          </w:p>
        </w:tc>
      </w:tr>
      <w:tr>
        <w:tc>
          <w:tcPr>
            <w:tcW w:type="dxa" w:w="4939"/>
            <w:vAlign w:val="center"/>
          </w:tcPr>
          <w:p>
            <w:r>
              <w:rPr>
                <w:sz w:val="17"/>
              </w:rPr>
            </w:r>
            <w:r>
              <w:rPr>
                <w:sz w:val="17"/>
              </w:rPr>
              <w:t>UX-07</w:t>
            </w:r>
          </w:p>
        </w:tc>
        <w:tc>
          <w:tcPr>
            <w:tcW w:type="dxa" w:w="4939"/>
            <w:vAlign w:val="center"/>
          </w:tcPr>
          <w:p>
            <w:r>
              <w:rPr>
                <w:sz w:val="17"/>
              </w:rPr>
            </w:r>
            <w:r>
              <w:rPr>
                <w:sz w:val="17"/>
              </w:rPr>
              <w:t>Uploads worden gescand, veilig opgeslagen en alleen via tijdelijke geautoriseerde verwijzingen ontsloten.</w:t>
            </w:r>
          </w:p>
        </w:tc>
      </w:tr>
      <w:tr>
        <w:tc>
          <w:tcPr>
            <w:tcW w:type="dxa" w:w="4939"/>
            <w:vAlign w:val="center"/>
            <w:shd w:fill="F1F6F7"/>
          </w:tcPr>
          <w:p>
            <w:r>
              <w:rPr>
                <w:sz w:val="17"/>
              </w:rPr>
            </w:r>
            <w:r>
              <w:rPr>
                <w:sz w:val="17"/>
              </w:rPr>
              <w:t>UX-08</w:t>
            </w:r>
          </w:p>
        </w:tc>
        <w:tc>
          <w:tcPr>
            <w:tcW w:type="dxa" w:w="4939"/>
            <w:vAlign w:val="center"/>
            <w:shd w:fill="F1F6F7"/>
          </w:tcPr>
          <w:p>
            <w:r>
              <w:rPr>
                <w:sz w:val="17"/>
              </w:rPr>
            </w:r>
            <w:r>
              <w:rPr>
                <w:sz w:val="17"/>
              </w:rPr>
              <w:t>Rechten, garanties en juridische teksten blijven expliciete reviewpunten.</w:t>
            </w:r>
          </w:p>
        </w:tc>
      </w:tr>
      <w:tr>
        <w:tc>
          <w:tcPr>
            <w:tcW w:type="dxa" w:w="4939"/>
            <w:vAlign w:val="center"/>
          </w:tcPr>
          <w:p>
            <w:r>
              <w:rPr>
                <w:sz w:val="17"/>
              </w:rPr>
            </w:r>
            <w:r>
              <w:rPr>
                <w:sz w:val="17"/>
              </w:rPr>
              <w:t>UX-09</w:t>
            </w:r>
          </w:p>
        </w:tc>
        <w:tc>
          <w:tcPr>
            <w:tcW w:type="dxa" w:w="4939"/>
            <w:vAlign w:val="center"/>
          </w:tcPr>
          <w:p>
            <w:r>
              <w:rPr>
                <w:sz w:val="17"/>
              </w:rPr>
            </w:r>
            <w:r>
              <w:rPr>
                <w:sz w:val="17"/>
              </w:rPr>
              <w:t>Project Brief is herleidbaar naar bronantwoord, vraagversie, tenant en reviewstatus.</w:t>
            </w:r>
          </w:p>
        </w:tc>
      </w:tr>
      <w:tr>
        <w:tc>
          <w:tcPr>
            <w:tcW w:type="dxa" w:w="4939"/>
            <w:vAlign w:val="center"/>
            <w:shd w:fill="F1F6F7"/>
          </w:tcPr>
          <w:p>
            <w:r>
              <w:rPr>
                <w:sz w:val="17"/>
              </w:rPr>
            </w:r>
            <w:r>
              <w:rPr>
                <w:sz w:val="17"/>
              </w:rPr>
              <w:t>UX-10</w:t>
            </w:r>
          </w:p>
        </w:tc>
        <w:tc>
          <w:tcPr>
            <w:tcW w:type="dxa" w:w="4939"/>
            <w:vAlign w:val="center"/>
            <w:shd w:fill="F1F6F7"/>
          </w:tcPr>
          <w:p>
            <w:r>
              <w:rPr>
                <w:sz w:val="17"/>
              </w:rPr>
            </w:r>
            <w:r>
              <w:rPr>
                <w:sz w:val="17"/>
              </w:rPr>
              <w:t>Klant kan indienen; alleen Westend kan strategie/productie vrijgeven.</w:t>
            </w:r>
          </w:p>
        </w:tc>
      </w:tr>
      <w:tr>
        <w:tc>
          <w:tcPr>
            <w:tcW w:type="dxa" w:w="4939"/>
            <w:vAlign w:val="center"/>
          </w:tcPr>
          <w:p>
            <w:r>
              <w:rPr>
                <w:sz w:val="17"/>
              </w:rPr>
            </w:r>
            <w:r>
              <w:rPr>
                <w:sz w:val="17"/>
              </w:rPr>
              <w:t>UX-11</w:t>
            </w:r>
          </w:p>
        </w:tc>
        <w:tc>
          <w:tcPr>
            <w:tcW w:type="dxa" w:w="4939"/>
            <w:vAlign w:val="center"/>
          </w:tcPr>
          <w:p>
            <w:r>
              <w:rPr>
                <w:sz w:val="17"/>
              </w:rPr>
            </w:r>
            <w:r>
              <w:rPr>
                <w:sz w:val="17"/>
              </w:rPr>
              <w:t>Scopeafwijkingen creëren een apart handmatig offerteproces; geen autonome betaalde uitvoering.</w:t>
            </w:r>
          </w:p>
        </w:tc>
      </w:tr>
      <w:tr>
        <w:tc>
          <w:tcPr>
            <w:tcW w:type="dxa" w:w="4939"/>
            <w:vAlign w:val="center"/>
            <w:shd w:fill="F1F6F7"/>
          </w:tcPr>
          <w:p>
            <w:r>
              <w:rPr>
                <w:sz w:val="17"/>
              </w:rPr>
            </w:r>
            <w:r>
              <w:rPr>
                <w:sz w:val="17"/>
              </w:rPr>
              <w:t>UX-12</w:t>
            </w:r>
          </w:p>
        </w:tc>
        <w:tc>
          <w:tcPr>
            <w:tcW w:type="dxa" w:w="4939"/>
            <w:vAlign w:val="center"/>
            <w:shd w:fill="F1F6F7"/>
          </w:tcPr>
          <w:p>
            <w:r>
              <w:rPr>
                <w:sz w:val="17"/>
              </w:rPr>
            </w:r>
            <w:r>
              <w:rPr>
                <w:sz w:val="17"/>
              </w:rPr>
              <w:t>Layout en bediening toegankelijk op desktop, 390 px en 320 px.</w:t>
            </w:r>
          </w:p>
        </w:tc>
      </w:tr>
      <w:tr>
        <w:tc>
          <w:tcPr>
            <w:tcW w:type="dxa" w:w="4939"/>
            <w:vAlign w:val="center"/>
          </w:tcPr>
          <w:p>
            <w:r>
              <w:rPr>
                <w:sz w:val="17"/>
              </w:rPr>
            </w:r>
            <w:r>
              <w:rPr>
                <w:sz w:val="17"/>
              </w:rPr>
              <w:t>UX-13</w:t>
            </w:r>
          </w:p>
        </w:tc>
        <w:tc>
          <w:tcPr>
            <w:tcW w:type="dxa" w:w="4939"/>
            <w:vAlign w:val="center"/>
          </w:tcPr>
          <w:p>
            <w:r>
              <w:rPr>
                <w:sz w:val="17"/>
              </w:rPr>
            </w:r>
            <w:r>
              <w:rPr>
                <w:sz w:val="17"/>
              </w:rPr>
              <w:t>Aanpassen van eerder antwoord verandert conditionele velden en genereert nieuwe briefversie.</w:t>
            </w:r>
          </w:p>
        </w:tc>
      </w:tr>
      <w:tr>
        <w:tc>
          <w:tcPr>
            <w:tcW w:type="dxa" w:w="4939"/>
            <w:vAlign w:val="center"/>
            <w:shd w:fill="F1F6F7"/>
          </w:tcPr>
          <w:p>
            <w:r>
              <w:rPr>
                <w:sz w:val="17"/>
              </w:rPr>
            </w:r>
            <w:r>
              <w:rPr>
                <w:sz w:val="17"/>
              </w:rPr>
              <w:t>UX-14</w:t>
            </w:r>
          </w:p>
        </w:tc>
        <w:tc>
          <w:tcPr>
            <w:tcW w:type="dxa" w:w="4939"/>
            <w:vAlign w:val="center"/>
            <w:shd w:fill="F1F6F7"/>
          </w:tcPr>
          <w:p>
            <w:r>
              <w:rPr>
                <w:sz w:val="17"/>
              </w:rPr>
            </w:r>
            <w:r>
              <w:rPr>
                <w:sz w:val="17"/>
              </w:rPr>
              <w:t>Server autoriseert tenantgebonden antwoorden, bestanden en projectbrief; verborgen UI is geen beveiliging.</w:t>
            </w:r>
          </w:p>
        </w:tc>
      </w:tr>
      <w:tr>
        <w:tc>
          <w:tcPr>
            <w:tcW w:type="dxa" w:w="4939"/>
            <w:vAlign w:val="center"/>
          </w:tcPr>
          <w:p>
            <w:r>
              <w:rPr>
                <w:sz w:val="17"/>
              </w:rPr>
            </w:r>
            <w:r>
              <w:rPr>
                <w:sz w:val="17"/>
              </w:rPr>
              <w:t>UX-15</w:t>
            </w:r>
          </w:p>
        </w:tc>
        <w:tc>
          <w:tcPr>
            <w:tcW w:type="dxa" w:w="4939"/>
            <w:vAlign w:val="center"/>
          </w:tcPr>
          <w:p>
            <w:r>
              <w:rPr>
                <w:sz w:val="17"/>
              </w:rPr>
            </w:r>
            <w:r>
              <w:rPr>
                <w:sz w:val="17"/>
              </w:rPr>
              <w:t>Intakefrictie: meet invultijd, afhaakmomenten en aantallen extra reviewrondes in eerste vijf pilots.</w:t>
            </w:r>
          </w:p>
        </w:tc>
      </w:tr>
    </w:tbl>
    <w:p>
      <w:pPr>
        <w:spacing w:after="0"/>
      </w:pPr>
    </w:p>
    <w:p>
      <w:pPr>
        <w:pStyle w:val="Heading1"/>
      </w:pPr>
      <w:r>
        <w:t>8. Niet in deze klikdemo</w:t>
      </w:r>
    </w:p>
    <w:p>
      <w:r>
        <w:t>Server, accounts/rollen, echte uploads, veilige tenantisolatie, e-mail, AI-verwerking, externe referenties/onderzoek, bestandsviruscontrole, approval-workflow, productie-opdrachten en API-koppelingen. Download JSON is uitsluitend bedoeld om het ontwerpcontract te beoordelen.</w:t>
      </w:r>
    </w:p>
    <w:p>
      <w:pPr>
        <w:pStyle w:val="Heading1"/>
      </w:pPr>
      <w:r>
        <w:t>9. Volgende ontwerpbeslissingen</w:t>
      </w:r>
    </w:p>
    <w:p>
      <w:pPr>
        <w:pStyle w:val="ListNumber"/>
      </w:pPr>
      <w:r>
        <w:t>Welke antwoorden uit bestaande websites/documenten vooraf kunnen worden ingevuld ter verlaging van de intakefrictie.</w:t>
      </w:r>
    </w:p>
    <w:p>
      <w:pPr>
        <w:pStyle w:val="ListNumber"/>
      </w:pPr>
      <w:r>
        <w:t>Hoe Westend per reviewpunt ‘gecontroleerd’, ‘klantactie’, ‘meerwerk’ en ‘afgewezen’ vastlegt.</w:t>
      </w:r>
    </w:p>
    <w:p>
      <w:pPr>
        <w:pStyle w:val="ListNumber"/>
      </w:pPr>
      <w:r>
        <w:t>Hoe de Productieplanning, ontwerpbevestiging en statuscommunicatie in het klantenportaal worden weergegeven.</w:t>
      </w:r>
    </w:p>
    <w:p>
      <w:pPr>
        <w:pStyle w:val="ListNumber"/>
      </w:pPr>
      <w:r>
        <w:t>Welke velden vanuit de bestaande bronnen pas ná onboarding nodig zijn en optioneel gemaakt kunnen worden.</w:t>
      </w:r>
    </w:p>
    <w:p>
      <w:r>
        <w:rPr>
          <w:b/>
        </w:rPr>
        <w:t>Advies:</w:t>
      </w:r>
      <w:r>
        <w:t xml:space="preserve"> test het geïntegreerde prototype bij de eerste twee echte doelgroeponderzoekers vóór verdere ontwikkeling, zodat de tijdsbelasting niet onderschat wordt.</w:t>
      </w:r>
    </w:p>
    <w:sectPr w:rsidR="00FC693F" w:rsidRPr="0006063C" w:rsidSect="00034616">
      <w:headerReference w:type="default" r:id="rId9"/>
      <w:footerReference w:type="default" r:id="rId10"/>
      <w:pgSz w:w="12240" w:h="15840"/>
      <w:pgMar w:top="1037" w:right="1181" w:bottom="893" w:left="1181"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707A"/>
        <w:sz w:val="16"/>
      </w:rPr>
      <w:t>FASE 3  ·  ONBOARDING &amp; PROJECT BRIEF  ·  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567880"/>
        <w:sz w:val="16"/>
      </w:rPr>
      <w:t>WESTEND DIGITAL   /   CONVERSION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pPr>
    <w:rPr>
      <w:rFonts w:ascii="Aptos" w:hAnsi="Aptos"/>
      <w:color w:val="20343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4414B"/>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125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4353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3 — Gecombineerde onboarding en Project Brief Generator v0.1</dc:title>
  <dc:subject>Functionele UX-specificatie en datacontract</dc:subject>
  <dc:creator>Westend Digital</dc:creator>
  <cp:keywords/>
  <dc:description>generated by python-docx</dc:description>
  <cp:lastModifiedBy/>
  <cp:revision>1</cp:revision>
  <dcterms:created xsi:type="dcterms:W3CDTF">2013-12-23T23:15:00Z</dcterms:created>
  <dcterms:modified xsi:type="dcterms:W3CDTF">2013-12-23T23:15:00Z</dcterms:modified>
  <cp:category/>
</cp:coreProperties>
</file>