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Westend Digital Conversion Engine</w:t>
      </w:r>
    </w:p>
    <w:p>
      <w:pPr>
        <w:pStyle w:val="Heading1"/>
      </w:pPr>
      <w:r>
        <w:t>Fase 4 — A-09 Technologiestack &amp; Providerselectie</w:t>
      </w:r>
    </w:p>
    <w:p>
      <w:r>
        <w:rPr>
          <w:b/>
        </w:rPr>
        <w:t>Versie:</w:t>
      </w:r>
      <w:r>
        <w:t xml:space="preserve"> v0.1 — voorstel ter goedkeuring</w:t>
      </w:r>
    </w:p>
    <w:p>
      <w:r>
        <w:rPr>
          <w:b/>
        </w:rPr>
        <w:t>Datum:</w:t>
      </w:r>
      <w:r>
        <w:t xml:space="preserve"> 18 oktober 2026</w:t>
      </w:r>
    </w:p>
    <w:p>
      <w:r>
        <w:rPr>
          <w:b/>
        </w:rPr>
        <w:t>Status:</w:t>
      </w:r>
      <w:r>
        <w:t xml:space="preserve"> A-01 t/m A-08 goedgekeurd; A-09 nog niet goedgekeurd</w:t>
      </w:r>
    </w:p>
    <w:p>
      <w:r>
        <w:rPr>
          <w:b/>
        </w:rPr>
        <w:t>Scope:</w:t>
      </w:r>
      <w:r>
        <w:t xml:space="preserve"> de concrete technologiestack, providerkandidaten, randvoorwaarden en proof-of-concept-gates.</w:t>
      </w:r>
    </w:p>
    <w:p>
      <w:pPr>
        <w:pStyle w:val="Heading2"/>
      </w:pPr>
      <w:r>
        <w:t>1. Besluit in één oogopslag</w:t>
      </w:r>
    </w:p>
    <w:p>
      <w:r>
        <w:rPr>
          <w:b/>
        </w:rPr>
        <w:t>Advies: één modulaire TypeScript-codebase</w:t>
      </w:r>
      <w:r>
        <w:t xml:space="preserve">, met Astro voor onafhankelijke klantwebsites, React voor het SaaS-dashboard, Fastify als API, PostgreSQL met Drizzle en pg-boss als eerste queue-kandidaat. Beheerde PostgreSQL/Auth/Private Storage via Supabase is de </w:t>
      </w:r>
      <w:r>
        <w:rPr>
          <w:b/>
        </w:rPr>
        <w:t>voorkeurskandidaat</w:t>
      </w:r>
      <w:r>
        <w:t>, maar vereist eerst een security-, herstel- en kostentoets. Sanity blijft uitsluitend websitecontent beheren; het project-/datasetmodel per klant is nog niet gekozen.</w:t>
      </w:r>
    </w:p>
    <w:p>
      <w:r>
        <w:t>Niet doen in de MVP: Kubernetes, microservices per domein, Redis uitsluitend voor jobs, willekeurige AI-gegenereerde productiecode zonder sandbox of een zelfstandig gebouwd wachtwoordsysteem. n8n kan voor interne niet-kritieke workflows beschikbaar blijven, maar is niet de bron van waarheid voor leadstatus of betalingen.</w:t>
      </w:r>
    </w:p>
    <w:p>
      <w:pPr>
        <w:pStyle w:val="Heading2"/>
      </w:pPr>
      <w:r>
        <w:t>2. Technische keuzematrix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3255"/>
            <w:vAlign w:val="center"/>
            <w:shd w:fill="E9F0F5"/>
          </w:tcPr>
          <w:p>
            <w:pPr>
              <w:spacing w:after="40" w:before="40"/>
            </w:pPr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Domein</w:t>
            </w:r>
          </w:p>
        </w:tc>
        <w:tc>
          <w:tcPr>
            <w:tcW w:type="dxa" w:w="3255"/>
            <w:vAlign w:val="center"/>
            <w:shd w:fill="E9F0F5"/>
          </w:tcPr>
          <w:p>
            <w:pPr>
              <w:spacing w:after="40" w:before="40"/>
            </w:pPr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Voorkeur</w:t>
            </w:r>
          </w:p>
        </w:tc>
        <w:tc>
          <w:tcPr>
            <w:tcW w:type="dxa" w:w="3255"/>
            <w:vAlign w:val="center"/>
            <w:shd w:fill="E9F0F5"/>
          </w:tcPr>
          <w:p>
            <w:pPr>
              <w:spacing w:after="40" w:before="40"/>
            </w:pPr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Status / argument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Statische klantwebsites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Astro + TypeScript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Voorkeurskeuze; onafhankelijke builds en CDN-deploys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SaaS-app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React + TypeScript + Vite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Voorkeurskeuze; rijke CRM-interfaces en state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UI-system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Tailwind CSS + eigen design tokens + toegankelijke componenten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Baseren op goedgekeurd Fase 3 design; shadcn/ui als mogelijke implementatiebasis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API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Node.js + TypeScript + Fastify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Schema-gebaseerde request/responsevalidatie; bestaande Express-modules selectief hergebruiken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API-contracten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Zod + OpenAPI (versiebeheer)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Eén contract voor client, API en workers; op compatibiliteit testen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Relationele opslag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PostgreSQL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A-02/A-04; RLS en samengestelde tenantgebonden sleutels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Database-toegang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Drizzle ORM + gecontroleerde SQL-migrations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RLS-support; raw SQL waar beleidsregels dat vereisen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Auth &amp; MFA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Supabase Auth (TOTP/aal2)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Kandidaat; MFA verplicht voor alle rollen en op API/DB-niveau afdwingen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Jobqueue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pg-boss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Kandidaat; Postgres-queue, retries, scheduling en tenantcapaciteit, zonder Redis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Bestanden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Private objectopslag, bij voorkeur Supabase Storage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Signed URLs, RLS, malwarecontrole en bewaarbeleid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Website-CMS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Sanity Studio, gedeelde schema-codebase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Per-klant-projecten versus gedeeld project nog beslissen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E-mail/router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Resend + eigen veilige inbound router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A-07: geen toegang tot volledige klantmailboxen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Analytics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GA4, GSC, Clarity, DataForSEO adapters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Server-side, read-only waar mogelijk; rate limits en budgetmeters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AI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Provideradapter (OpenAI/Anthropic), Zod-gecontroleerde output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Modelkeuze per taak later; geen directe tool-, mail-, CMS- of betaalrechten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Browsercontroles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Playwright (gescheiden worker)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Hergebruik formuliermonitor; testisolatie is verplicht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Delivery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GitHub Actions + Docker Compose + CDN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CI security-gates; per-site deployment en rollback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Observability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Structured JSON logs + errortracking + externe uptimecheck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Kosten- en regioselectie nog toetsen; geen PII standaard loggen</w:t>
            </w:r>
          </w:p>
        </w:tc>
      </w:tr>
    </w:tbl>
    <w:p>
      <w:pPr>
        <w:spacing w:after="0"/>
      </w:pPr>
    </w:p>
    <w:p>
      <w:pPr>
        <w:pStyle w:val="Heading2"/>
      </w:pPr>
      <w:r>
        <w:t>3. Voorgestelde code- en deploymentstructuur</w:t>
      </w:r>
    </w:p>
    <w:p>
      <w:pPr>
        <w:spacing w:before="60" w:after="140"/>
      </w:pPr>
      <w:r>
        <w:rPr>
          <w:rFonts w:ascii="Consolas" w:hAnsi="Consolas"/>
          <w:sz w:val="14"/>
        </w:rPr>
        <w:t>westend-conversion-engine/</w:t>
        <w:br/>
      </w:r>
      <w:r>
        <w:rPr>
          <w:rFonts w:ascii="Consolas" w:hAnsi="Consolas"/>
          <w:sz w:val="14"/>
        </w:rPr>
        <w:t xml:space="preserve">  apps/dashboard/            # React CRM en Westend admin</w:t>
        <w:br/>
      </w:r>
      <w:r>
        <w:rPr>
          <w:rFonts w:ascii="Consolas" w:hAnsi="Consolas"/>
          <w:sz w:val="14"/>
        </w:rPr>
        <w:t xml:space="preserve">  apps/api/                  # Fastify API + autorisatie</w:t>
        <w:br/>
      </w:r>
      <w:r>
        <w:rPr>
          <w:rFonts w:ascii="Consolas" w:hAnsi="Consolas"/>
          <w:sz w:val="14"/>
        </w:rPr>
        <w:t xml:space="preserve">  apps/workers/              # Lead, analytics en planning (afzonderlijke processen)</w:t>
        <w:br/>
      </w:r>
      <w:r>
        <w:rPr>
          <w:rFonts w:ascii="Consolas" w:hAnsi="Consolas"/>
          <w:sz w:val="14"/>
        </w:rPr>
        <w:t xml:space="preserve">  apps/sanity-studio/        # Gedeelde Studio-configuratie</w:t>
        <w:br/>
      </w:r>
      <w:r>
        <w:rPr>
          <w:rFonts w:ascii="Consolas" w:hAnsi="Consolas"/>
          <w:sz w:val="14"/>
        </w:rPr>
        <w:t xml:space="preserve">  packages/database/         # Drizzle schema, RLS policies, migrations</w:t>
        <w:br/>
      </w:r>
      <w:r>
        <w:rPr>
          <w:rFonts w:ascii="Consolas" w:hAnsi="Consolas"/>
          <w:sz w:val="14"/>
        </w:rPr>
        <w:t xml:space="preserve">  packages/contracts/        # Zod / OpenAPI / eventschema's</w:t>
        <w:br/>
      </w:r>
      <w:r>
        <w:rPr>
          <w:rFonts w:ascii="Consolas" w:hAnsi="Consolas"/>
          <w:sz w:val="14"/>
        </w:rPr>
        <w:t xml:space="preserve">  packages/domain/           # CRM-, betalings- en workflowregels</w:t>
        <w:br/>
      </w:r>
      <w:r>
        <w:rPr>
          <w:rFonts w:ascii="Consolas" w:hAnsi="Consolas"/>
          <w:sz w:val="14"/>
        </w:rPr>
        <w:t xml:space="preserve">  packages/ui/               # Westend SaaS-designsystem</w:t>
        <w:br/>
      </w:r>
      <w:r>
        <w:rPr>
          <w:rFonts w:ascii="Consolas" w:hAnsi="Consolas"/>
          <w:sz w:val="14"/>
        </w:rPr>
        <w:t xml:space="preserve">  packages/integrations/     # Sanity, Resend, Google, Clarity, DataForSEO</w:t>
        <w:br/>
      </w:r>
      <w:r>
        <w:rPr>
          <w:rFonts w:ascii="Consolas" w:hAnsi="Consolas"/>
          <w:sz w:val="14"/>
        </w:rPr>
        <w:t xml:space="preserve">  packages/security/         # tenantcontext, auth, audit, injection controls</w:t>
        <w:br/>
      </w:r>
      <w:r>
        <w:rPr>
          <w:rFonts w:ascii="Consolas" w:hAnsi="Consolas"/>
          <w:sz w:val="14"/>
        </w:rPr>
        <w:t>website-starter/             # Astro + Westend Component Library</w:t>
        <w:br/>
      </w:r>
      <w:r>
        <w:rPr>
          <w:rFonts w:ascii="Consolas" w:hAnsi="Consolas"/>
          <w:sz w:val="14"/>
        </w:rPr>
        <w:t>customer-sites/              # Eigen onafhankelijke repo/deploy per site (pilot)</w:t>
      </w:r>
    </w:p>
    <w:p>
      <w:r>
        <w:t>Werk met pnpm-workspaces; voeg een extra monorepo-orchestrator alleen toe bij meetbare noodzaak. Klantwebsites gebruiken versioned componenten en expliciet goedgekeurde projectconfiguratie; een update aan de starter publiceert niet stilzwijgend alle sites. Websitebuilds draaien geïsoleerd en krijgen geen productiecredentials.</w:t>
      </w:r>
    </w:p>
    <w:p>
      <w:pPr>
        <w:pStyle w:val="Heading2"/>
      </w:pPr>
      <w:r>
        <w:t>4. Database- en authenticatiebeveiliging</w:t>
      </w:r>
    </w:p>
    <w:p>
      <w:pPr>
        <w:pStyle w:val="ListBullet"/>
      </w:pPr>
      <w:r>
        <w:rPr>
          <w:b/>
        </w:rPr>
        <w:t>MFA verplicht voor alle rollen</w:t>
      </w:r>
      <w:r>
        <w:t xml:space="preserve">: Westend Admin, Business Owner én Team Member. Supabase Auth ondersteunt TOTP en </w:t>
      </w:r>
      <w:r>
        <w:rPr>
          <w:rFonts w:ascii="Consolas" w:hAnsi="Consolas"/>
          <w:sz w:val="16"/>
        </w:rPr>
        <w:t>aal2</w:t>
      </w:r>
      <w:r>
        <w:t xml:space="preserve">; de backend weigert zakelijke en financiële endpoints totdat </w:t>
      </w:r>
      <w:r>
        <w:rPr>
          <w:rFonts w:ascii="Consolas" w:hAnsi="Consolas"/>
          <w:sz w:val="16"/>
        </w:rPr>
        <w:t>aal2</w:t>
      </w:r>
      <w:r>
        <w:t xml:space="preserve"> is geverifieerd. Herstelflow en account recovery worden vóór livegang getest.</w:t>
      </w:r>
    </w:p>
    <w:p>
      <w:pPr>
        <w:pStyle w:val="ListBullet"/>
      </w:pPr>
      <w:r>
        <w:rPr>
          <w:b/>
        </w:rPr>
        <w:t>API is de enige applicatiepoort</w:t>
      </w:r>
      <w:r>
        <w:t xml:space="preserve"> naar klant- en financiële gegevens. Een browser mag via Auth aanmelden, maar leest/schrijft geen CRM-tabellen rechtstreeks via een breed bevoegde Supabase client.</w:t>
      </w:r>
    </w:p>
    <w:p>
      <w:pPr>
        <w:pStyle w:val="ListBullet"/>
      </w:pPr>
      <w:r>
        <w:rPr>
          <w:b/>
        </w:rPr>
        <w:t>PostgreSQL RLS</w:t>
      </w:r>
      <w:r>
        <w:t xml:space="preserve"> is de tweede verdedigingslaag naast server-side autorisatie. Iedere transactie krijgt een gecontroleerde user-/tenantcontext. Gebruik een niet-eigenaar, niet-</w:t>
      </w:r>
      <w:r>
        <w:rPr>
          <w:rFonts w:ascii="Consolas" w:hAnsi="Consolas"/>
          <w:sz w:val="16"/>
        </w:rPr>
        <w:t>BYPASSRLS</w:t>
      </w:r>
      <w:r>
        <w:t xml:space="preserve"> runtime-rol; test connection-pooling, policy-grenzen en default deny. Geen </w:t>
      </w:r>
      <w:r>
        <w:rPr>
          <w:rFonts w:ascii="Consolas" w:hAnsi="Consolas"/>
          <w:sz w:val="16"/>
        </w:rPr>
        <w:t>tenant_id</w:t>
      </w:r>
      <w:r>
        <w:t xml:space="preserve"> uit een browserrequest vertrouwen.</w:t>
      </w:r>
    </w:p>
    <w:p>
      <w:pPr>
        <w:pStyle w:val="ListBullet"/>
      </w:pPr>
      <w:r>
        <w:rPr>
          <w:b/>
        </w:rPr>
        <w:t>Netwerk</w:t>
      </w:r>
      <w:r>
        <w:t>: beperk PostgreSQL/pooler op bekende egress-IP's of private verbindingen waar beschikbaar. Supabase netwerkrestricties gelden voor directe databaseverbindingen, niet automatisch voor Auth/Storage/HTTPS-API's; die moeten afzonderlijk zijn afgeschermd.</w:t>
      </w:r>
    </w:p>
    <w:p>
      <w:pPr>
        <w:pStyle w:val="ListBullet"/>
      </w:pPr>
      <w:r>
        <w:rPr>
          <w:b/>
        </w:rPr>
        <w:t>Workers</w:t>
      </w:r>
      <w:r>
        <w:t xml:space="preserve"> gebruiken een apart serviceaccount met minimale rollen. Zij krijgen uitsluitend interne record-ID's en geautoriseerde tenantcontext; service-privileges mogen nooit via API-requestheaders worden doorgegeven.</w:t>
      </w:r>
    </w:p>
    <w:p>
      <w:pPr>
        <w:pStyle w:val="ListBullet"/>
      </w:pPr>
      <w:r>
        <w:rPr>
          <w:b/>
        </w:rPr>
        <w:t>Bestanden</w:t>
      </w:r>
      <w:r>
        <w:t>: private buckets, per-tenant storage policies, kortlevende links, malware- en inhoudstypecontrole. Sanity-assets zijn geen vertrouwelijke documentenopslag.</w:t>
      </w:r>
    </w:p>
    <w:p>
      <w:pPr>
        <w:pStyle w:val="ListBullet"/>
      </w:pPr>
      <w:r>
        <w:rPr>
          <w:b/>
        </w:rPr>
        <w:t>Environments</w:t>
      </w:r>
      <w:r>
        <w:t>: minimaal gescheiden staging en productie, met afzonderlijke databases/authconfig/credentials. Geen ongeschoonde productiedata naar test of AI.</w:t>
      </w:r>
    </w:p>
    <w:p>
      <w:pPr>
        <w:pStyle w:val="Heading2"/>
      </w:pPr>
      <w:r>
        <w:t>5. Betrouwbare taken zonder extra Redis</w:t>
      </w:r>
    </w:p>
    <w:p>
      <w:r>
        <w:t xml:space="preserve">pg-boss ondersteunt PostgreSQL-queues, retries, deadlines, scheduling en database-transacties. Begin met aparte logische queues en resources voor </w:t>
      </w:r>
      <w:r>
        <w:rPr>
          <w:rFonts w:ascii="Consolas" w:hAnsi="Consolas"/>
          <w:sz w:val="16"/>
        </w:rPr>
        <w:t>lead</w:t>
      </w:r>
      <w:r>
        <w:t xml:space="preserve">, </w:t>
      </w:r>
      <w:r>
        <w:rPr>
          <w:rFonts w:ascii="Consolas" w:hAnsi="Consolas"/>
          <w:sz w:val="16"/>
        </w:rPr>
        <w:t>email</w:t>
      </w:r>
      <w:r>
        <w:t xml:space="preserve">, </w:t>
      </w:r>
      <w:r>
        <w:rPr>
          <w:rFonts w:ascii="Consolas" w:hAnsi="Consolas"/>
          <w:sz w:val="16"/>
        </w:rPr>
        <w:t>report</w:t>
      </w:r>
      <w:r>
        <w:t xml:space="preserve">, </w:t>
      </w:r>
      <w:r>
        <w:rPr>
          <w:rFonts w:ascii="Consolas" w:hAnsi="Consolas"/>
          <w:sz w:val="16"/>
        </w:rPr>
        <w:t>monitor</w:t>
      </w:r>
      <w:r>
        <w:t xml:space="preserve"> en </w:t>
      </w:r>
      <w:r>
        <w:rPr>
          <w:rFonts w:ascii="Consolas" w:hAnsi="Consolas"/>
          <w:sz w:val="16"/>
        </w:rPr>
        <w:t>website_build</w:t>
      </w:r>
      <w:r>
        <w:t>. Gebruik een transactionele outbox in de bedrijfsdatabase en een dispatcher met unieke event-ID's; downstream acties hebben eigen idempotentiechecks.</w:t>
      </w:r>
    </w:p>
    <w:p>
      <w:r>
        <w:rPr>
          <w:b/>
        </w:rPr>
        <w:t>Geen absoluut 'exactly-once' voor externe e-mailcalls</w:t>
      </w:r>
      <w:r>
        <w:t>: een worker kan na een geslaagde provider-call crashen. Bewaar daarom een verzendledger en verifieer onzekere providerstatus, in plaats van blind opnieuw te verzenden. Per-tenant concurrency- en kostenlimieten voorkomen dat één klant de queue monopoliseert. Bij toenemende load mogen workers afzonderlijk schalen zonder dat de app uiteenvalt in microservices. Langlopende builds vereisen geen lang openstaande database-transactie.</w:t>
      </w:r>
    </w:p>
    <w:p>
      <w:pPr>
        <w:pStyle w:val="Heading2"/>
      </w:pPr>
      <w:r>
        <w:t>6. Hosting- en providerselectie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3255"/>
            <w:vAlign w:val="center"/>
            <w:shd w:fill="E9F0F5"/>
          </w:tcPr>
          <w:p>
            <w:pPr>
              <w:spacing w:after="40" w:before="40"/>
            </w:pPr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Onderdeel</w:t>
            </w:r>
          </w:p>
        </w:tc>
        <w:tc>
          <w:tcPr>
            <w:tcW w:type="dxa" w:w="3255"/>
            <w:vAlign w:val="center"/>
            <w:shd w:fill="E9F0F5"/>
          </w:tcPr>
          <w:p>
            <w:pPr>
              <w:spacing w:after="40" w:before="40"/>
            </w:pPr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Eerste kandidaat</w:t>
            </w:r>
          </w:p>
        </w:tc>
        <w:tc>
          <w:tcPr>
            <w:tcW w:type="dxa" w:w="3255"/>
            <w:vAlign w:val="center"/>
            <w:shd w:fill="E9F0F5"/>
          </w:tcPr>
          <w:p>
            <w:pPr>
              <w:spacing w:after="40" w:before="40"/>
            </w:pPr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Alternatief / beslissing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API en lichte workers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Geharde Hostinger VPS + Docker Compose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Managed apphost als incidentbeheer of HA zwaarder weegt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Database/Auth/Storage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Supabase EU-regio (productie + afzonderlijke staging)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Managed PostgreSQL + aparte beheerde auth/storage bij ongunstige PITR-TCO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Klantwebsites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Cloudflare Pages (Astro static)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Netlify; vergelijk builds, sites/domeinen, bandbreedte en migratie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CMS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Sanity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Eén codebase; project-per-klant heeft voorkeur bij toekomstige klanttoegang, mits licentie/TCO haalbaar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E-mail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Resend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Alternatief alleen bij compliance, regio, deliverability of prijsproblemen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Playwright/builds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Tijdelijke geïsoleerde runner buiten kritieke API-host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Afzonderlijke worker-VPS of managed container jobs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Logs en uptime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Externe uptimecheck plus errortracking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Definitieve dienst kiezen op EU-regio, kosten en logretentie</w:t>
            </w:r>
          </w:p>
        </w:tc>
      </w:tr>
    </w:tbl>
    <w:p>
      <w:pPr>
        <w:spacing w:after="0"/>
      </w:pPr>
    </w:p>
    <w:p>
      <w:r>
        <w:rPr>
          <w:b/>
        </w:rPr>
        <w:t>Supabase-restorerisico:</w:t>
      </w:r>
      <w:r>
        <w:t xml:space="preserve"> dagelijkse backups alleen zijn niet voldoende voor voorlopig RPO van maximaal 1 uur. De officiële Supabase-prijsinformatie noemt zeven dagen PITR rond $100/maand extra; in het getoonde voorbeeld is een Pro-project met Small compute en PITR ongeveer $130/maand na compute credit. De totale prijs stijgt door staging, extra workloads en overige providers. Dit is een gedateerd voorbeeld, geen offerte.</w:t>
      </w:r>
    </w:p>
    <w:p>
      <w:r>
        <w:rPr>
          <w:b/>
        </w:rPr>
        <w:t>Sanity-risico:</w:t>
      </w:r>
      <w:r>
        <w:t xml:space="preserve"> de huidige basisdataset en betaalde extra datasets maken 'een dataset per klant in één project' niet vanzelf schaalbaar. Project-per-klant biedt een sterkere organisatorische grens, maar moet voor 5, 25 en 100 websites op accounts, rollen, API-limieten en werkelijk factureerbare resources worden doorgerekend. Wij kiezen dit niet blind.</w:t>
      </w:r>
    </w:p>
    <w:p>
      <w:pPr>
        <w:pStyle w:val="Heading2"/>
      </w:pPr>
      <w:r>
        <w:t>7. Proof-of-concept: vijf gates vóór definitieve providers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3255"/>
            <w:vAlign w:val="center"/>
            <w:shd w:fill="E9F0F5"/>
          </w:tcPr>
          <w:p>
            <w:pPr>
              <w:spacing w:after="40" w:before="40"/>
            </w:pPr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Gate</w:t>
            </w:r>
          </w:p>
        </w:tc>
        <w:tc>
          <w:tcPr>
            <w:tcW w:type="dxa" w:w="3255"/>
            <w:vAlign w:val="center"/>
            <w:shd w:fill="E9F0F5"/>
          </w:tcPr>
          <w:p>
            <w:pPr>
              <w:spacing w:after="40" w:before="40"/>
            </w:pPr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Test en meetpunt</w:t>
            </w:r>
          </w:p>
        </w:tc>
        <w:tc>
          <w:tcPr>
            <w:tcW w:type="dxa" w:w="3255"/>
            <w:vAlign w:val="center"/>
            <w:shd w:fill="E9F0F5"/>
          </w:tcPr>
          <w:p>
            <w:pPr>
              <w:spacing w:after="40" w:before="40"/>
            </w:pPr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Afkeurcriterium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P1 Auth &amp; RLS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Business Owner en Team Member loggen in met MFA; 20+ cross-tenant read/write-aanvallen, ook via workers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 xml:space="preserve">Eén geslaagde cross-tenant toegang of endpoint dat </w:t>
            </w:r>
            <w:r>
              <w:rPr>
                <w:rFonts w:ascii="Consolas" w:hAnsi="Consolas"/>
                <w:sz w:val="15"/>
              </w:rPr>
              <w:t>aal1</w:t>
            </w:r>
            <w:r>
              <w:rPr>
                <w:sz w:val="15"/>
              </w:rPr>
              <w:t xml:space="preserve"> aanvaardt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P2 Recovery &amp; budget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Volledige restore-oefening database + bestanden, apart van productie; meet feitelijke RPO/RTO en TCO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RPO &gt; 1 uur, RTO &gt; 4 uur of kosten niet verklaarbaar; vereisen expliciet herontwerp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P3 Queue &amp; e-mail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Webhook/retry/crash-simulaties, rate caps en gesimuleerde onzekere verzendstatus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Lead verloren, dubbele automatische inhoudelijke mail, of 48u reminder zonder betrouwbare antwoordstatus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P4 CMS &amp; deployment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Twee demo-klanten met afzonderlijke content, eigen websites, testrechten en rollback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Inzage bij andere tenant, lek van schrijftoken, globale niet-geautoriseerde publicatie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P5 Isolatie &amp; prompt injection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Verwerk onbetrouwbaar formulier/document, draai Playwright en site-build met beperkte rechten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5"/>
              </w:rPr>
            </w:r>
            <w:r>
              <w:rPr>
                <w:sz w:val="15"/>
              </w:rPr>
              <w:t>Modelinstrucies leiden tot ongeautoriseerde gegevensverzending, productieactie of container breakout</w:t>
            </w:r>
          </w:p>
        </w:tc>
      </w:tr>
    </w:tbl>
    <w:p>
      <w:pPr>
        <w:spacing w:after="0"/>
      </w:pPr>
    </w:p>
    <w:p>
      <w:r>
        <w:t>Vóór commercialisatie daarnaast AVG-verwerkerscontracten, subverwerkers, dataregio's, logging-/bewaarbeleid, rate limits, integratievoorwaarden en incidentrunbooks expliciet verifiëren.</w:t>
      </w:r>
    </w:p>
    <w:p>
      <w:pPr>
        <w:pStyle w:val="Heading2"/>
      </w:pPr>
      <w:r>
        <w:t>8. Hergebruik bestaande Westend-producten</w:t>
      </w:r>
    </w:p>
    <w:p>
      <w:pPr>
        <w:pStyle w:val="ListBullet"/>
      </w:pPr>
      <w:r>
        <w:t>Formuliermonitor: neem bestaande Playwright-frontendchecks en adapterconfig over na code- en security-review. Houd echte end-to-end synthetische aanvragen gescheiden van de AI-flow.</w:t>
      </w:r>
    </w:p>
    <w:p>
      <w:pPr>
        <w:pStyle w:val="ListBullet"/>
      </w:pPr>
      <w:r>
        <w:t>AI-contactformulierautomatisering: hergebruik de intentlabels, één-AI-antwoordregel, state machine, anti-injectietests en gestructureerde output. Maak de centrale backend opnieuw autoritatief voor allowed actions; n8n mag niet zelfstandig business rules overrulen.</w:t>
      </w:r>
    </w:p>
    <w:p>
      <w:pPr>
        <w:pStyle w:val="ListBullet"/>
      </w:pPr>
      <w:r>
        <w:t>Westend Component Library: versieer Astro-secties als componentbibliotheek, met geïsoleerde release per klantwebsite.</w:t>
      </w:r>
    </w:p>
    <w:p>
      <w:pPr>
        <w:pStyle w:val="ListBullet"/>
      </w:pPr>
      <w:r>
        <w:t>Sanity-ervaring en React/Astro-kennis blijven bruikbaar; geen onnodige volledige rewrite enkel om frameworks gelijk te trekken.</w:t>
      </w:r>
    </w:p>
    <w:p>
      <w:pPr>
        <w:pStyle w:val="Heading2"/>
      </w:pPr>
      <w:r>
        <w:t>9. A-09 acceptatiecriteria</w:t>
      </w:r>
    </w:p>
    <w:p>
      <w:pPr>
        <w:pStyle w:val="ListBullet"/>
      </w:pPr>
      <w:r>
        <w:rPr>
          <w:b/>
        </w:rPr>
        <w:t>A09-01:</w:t>
      </w:r>
      <w:r>
        <w:t xml:space="preserve"> Eén TypeScript-ecosysteem voor dashboard/API/workers en Astro-sites; contracten gedeeld en versiebeheerbaar.</w:t>
      </w:r>
    </w:p>
    <w:p>
      <w:pPr>
        <w:pStyle w:val="ListBullet"/>
      </w:pPr>
      <w:r>
        <w:rPr>
          <w:b/>
        </w:rPr>
        <w:t>A09-02:</w:t>
      </w:r>
      <w:r>
        <w:t xml:space="preserve"> MFA-</w:t>
      </w:r>
      <w:r>
        <w:rPr>
          <w:rFonts w:ascii="Consolas" w:hAnsi="Consolas"/>
          <w:sz w:val="16"/>
        </w:rPr>
        <w:t>aal2</w:t>
      </w:r>
      <w:r>
        <w:t xml:space="preserve"> daadwerkelijk verplicht op API en database; tenant-RLS sluit cross-tenant reads/writes uit.</w:t>
      </w:r>
    </w:p>
    <w:p>
      <w:pPr>
        <w:pStyle w:val="ListBullet"/>
      </w:pPr>
      <w:r>
        <w:rPr>
          <w:b/>
        </w:rPr>
        <w:t>A09-03:</w:t>
      </w:r>
      <w:r>
        <w:t xml:space="preserve"> Geen secrets in websites, browserbundels, AI-context, logs of onbetrouwbare buildcontainers.</w:t>
      </w:r>
    </w:p>
    <w:p>
      <w:pPr>
        <w:pStyle w:val="ListBullet"/>
      </w:pPr>
      <w:r>
        <w:rPr>
          <w:b/>
        </w:rPr>
        <w:t>A09-04:</w:t>
      </w:r>
      <w:r>
        <w:t xml:space="preserve"> Eén centrale ledger voor berichten, events en menselijke escalaties; externe retries zijn idempotent ontworpen.</w:t>
      </w:r>
    </w:p>
    <w:p>
      <w:pPr>
        <w:pStyle w:val="ListBullet"/>
      </w:pPr>
      <w:r>
        <w:rPr>
          <w:b/>
        </w:rPr>
        <w:t>A09-05:</w:t>
      </w:r>
      <w:r>
        <w:t xml:space="preserve"> Frontendchecks, websitebuilds en analytics blokkeren geen nieuwe leadregistraties.</w:t>
      </w:r>
    </w:p>
    <w:p>
      <w:pPr>
        <w:pStyle w:val="ListBullet"/>
      </w:pPr>
      <w:r>
        <w:rPr>
          <w:b/>
        </w:rPr>
        <w:t>A09-06:</w:t>
      </w:r>
      <w:r>
        <w:t xml:space="preserve"> Private Storage en Sanity publiek contentbeleid zijn technisch en contractueel gescheiden.</w:t>
      </w:r>
    </w:p>
    <w:p>
      <w:pPr>
        <w:pStyle w:val="ListBullet"/>
      </w:pPr>
      <w:r>
        <w:rPr>
          <w:b/>
        </w:rPr>
        <w:t>A09-07:</w:t>
      </w:r>
      <w:r>
        <w:t xml:space="preserve"> Kostenmatrix voor 5, 25 en 100 klanten bevat VPS, managed DB/PITR, staging, CMS, sitehosting, AI, e-mail, logs en personeelstijd.</w:t>
      </w:r>
    </w:p>
    <w:p>
      <w:pPr>
        <w:pStyle w:val="ListBullet"/>
      </w:pPr>
      <w:r>
        <w:rPr>
          <w:b/>
        </w:rPr>
        <w:t>A09-08:</w:t>
      </w:r>
      <w:r>
        <w:t xml:space="preserve"> Backups en restore behalen aantoonbaar de nog te contracteren doelen; geen provider lock-in zonder export- en herstelpad.</w:t>
      </w:r>
    </w:p>
    <w:p>
      <w:pPr>
        <w:pStyle w:val="ListBullet"/>
      </w:pPr>
      <w:r>
        <w:rPr>
          <w:b/>
        </w:rPr>
        <w:t>A09-09:</w:t>
      </w:r>
      <w:r>
        <w:t xml:space="preserve"> Sanity-projectmodel blijft expliciet *open* totdat rol-/kosten-/migratietests zijn uitgevoerd.</w:t>
      </w:r>
    </w:p>
    <w:p>
      <w:pPr>
        <w:pStyle w:val="ListBullet"/>
      </w:pPr>
      <w:r>
        <w:rPr>
          <w:b/>
        </w:rPr>
        <w:t>A09-10:</w:t>
      </w:r>
      <w:r>
        <w:t xml:space="preserve"> Alle gekozen dependencies krijgen een security-, licentie- en onderhoudsreview; geen 'latest' zonder versiepinning.</w:t>
      </w:r>
    </w:p>
    <w:p>
      <w:pPr>
        <w:pStyle w:val="Heading2"/>
      </w:pPr>
      <w:r>
        <w:t>10. Te nemen besluit</w:t>
      </w:r>
    </w:p>
    <w:p>
      <w:r>
        <w:rPr>
          <w:b/>
        </w:rPr>
        <w:t>A-09 voorstel:</w:t>
      </w:r>
      <w:r>
        <w:t xml:space="preserve"> goedkeuring van de *kernstack*: Astro + React + Node/Fastify + TypeScript + PostgreSQL/Drizzle + pg-boss + Sanity + Resend + Playwright + GitHub Actions/Docker. </w:t>
      </w:r>
      <w:r>
        <w:rPr>
          <w:b/>
        </w:rPr>
        <w:t>Supabase, Cloudflare Pages en eigen VPS</w:t>
      </w:r>
      <w:r>
        <w:t xml:space="preserve"> worden als eerste providerkandidaten geselecteerd, niet onvoorwaardelijk als productieproviders goedgekeurd. Definitieve providerkeuze vereist geslaagde gates P1–P5 en doorgerekende kosten. De AI-provider wordt niet hard gecodeerd; per taak werken we met een gecontroleerde adapter.</w:t>
      </w:r>
    </w:p>
    <w:p>
      <w:pPr>
        <w:pStyle w:val="Heading2"/>
      </w:pPr>
      <w:r>
        <w:t>11. Geraadpleegde officiële documentatie (18 oktober 2026)</w:t>
      </w:r>
    </w:p>
    <w:p>
      <w:pPr>
        <w:pStyle w:val="ListBullet"/>
      </w:pPr>
      <w:r>
        <w:t>Supabase MFA: https://supabase.com/docs/guides/auth/auth-mfa</w:t>
      </w:r>
    </w:p>
    <w:p>
      <w:pPr>
        <w:pStyle w:val="ListBullet"/>
      </w:pPr>
      <w:r>
        <w:t>Supabase Storage: https://supabase.com/docs/guides/storage/buckets/fundamentals</w:t>
      </w:r>
    </w:p>
    <w:p>
      <w:pPr>
        <w:pStyle w:val="ListBullet"/>
      </w:pPr>
      <w:r>
        <w:t>Supabase databasebackups: https://supabase.com/docs/guides/platform/backups</w:t>
      </w:r>
    </w:p>
    <w:p>
      <w:pPr>
        <w:pStyle w:val="ListBullet"/>
      </w:pPr>
      <w:r>
        <w:t>Supabase PITR: https://supabase.com/docs/guides/platform/manage-your-usage/point-in-time-recovery</w:t>
      </w:r>
    </w:p>
    <w:p>
      <w:pPr>
        <w:pStyle w:val="ListBullet"/>
      </w:pPr>
      <w:r>
        <w:t>Supabase netwerkrestricties: https://supabase.com/docs/guides/platform/network-restrictions</w:t>
      </w:r>
    </w:p>
    <w:p>
      <w:pPr>
        <w:pStyle w:val="ListBullet"/>
      </w:pPr>
      <w:r>
        <w:t>Fastify API-validatie: https://fastify.dev/docs/latest/Reference/Validation-and-Serialization/</w:t>
      </w:r>
    </w:p>
    <w:p>
      <w:pPr>
        <w:pStyle w:val="ListBullet"/>
      </w:pPr>
      <w:r>
        <w:t>Drizzle RLS: https://orm.drizzle.team/docs/rls</w:t>
      </w:r>
    </w:p>
    <w:p>
      <w:pPr>
        <w:pStyle w:val="ListBullet"/>
      </w:pPr>
      <w:r>
        <w:t>pg-boss Postgres-queue: https://github.com/timgit/pg-boss</w:t>
      </w:r>
    </w:p>
    <w:p>
      <w:pPr>
        <w:pStyle w:val="ListBullet"/>
      </w:pPr>
      <w:r>
        <w:t>Cloudflare Astro: https://developers.cloudflare.com/pages/framework-guides/deploy-an-astro-site/</w:t>
      </w:r>
    </w:p>
    <w:p>
      <w:pPr>
        <w:pStyle w:val="ListBullet"/>
      </w:pPr>
      <w:r>
        <w:t>Sanity workspaces: https://www.sanity.io/docs/studio/workspaces</w:t>
      </w:r>
    </w:p>
    <w:p>
      <w:pPr>
        <w:pStyle w:val="ListBullet"/>
      </w:pPr>
      <w:r>
        <w:t>Sanity access-tokens &amp; assets: https://www.sanity.io/docs/content-lake/keeping-your-data-safe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38" w:bottom="1109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FASE 4   •   A-09   •   VOORSTEL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4E6074"/>
      </w:rPr>
      <w:t>WESTEND DIGITAL   /   CONVERSION ENGINE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313F5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94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C5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1223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