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Westend Digital — Conversion Engine</w:t>
      </w:r>
    </w:p>
    <w:p>
      <w:pPr>
        <w:pStyle w:val="Heading1"/>
      </w:pPr>
      <w:r>
        <w:t>Fase 4 · Technische architectuur &amp; implementatiegereedheid v1.0</w:t>
      </w:r>
    </w:p>
    <w:p>
      <w:r>
        <w:rPr>
          <w:b/>
        </w:rPr>
        <w:t>Datum:</w:t>
      </w:r>
      <w:r>
        <w:t xml:space="preserve"> 18 oktober 2026</w:t>
      </w:r>
    </w:p>
    <w:p>
      <w:r>
        <w:rPr>
          <w:b/>
        </w:rPr>
        <w:t>Status:</w:t>
      </w:r>
      <w:r>
        <w:t xml:space="preserve"> definitief goedgekeurd op 18 oktober 2026 — architectuurbaseline voor Fase 5</w:t>
      </w:r>
    </w:p>
    <w:p>
      <w:r>
        <w:rPr>
          <w:b/>
        </w:rPr>
        <w:t>Bronbasis:</w:t>
      </w:r>
      <w:r>
        <w:t xml:space="preserve"> Fase 2 Requirements &amp; Scope v1.0; Fase 3 UX/UI &amp; User Flows v1.0; A-01 t/m A-10 en latere expliciete bijstellingen.</w:t>
      </w:r>
    </w:p>
    <w:p>
      <w:r>
        <w:rPr>
          <w:b/>
        </w:rPr>
        <w:t>Doel:</w:t>
      </w:r>
      <w:r>
        <w:t xml:space="preserve"> één consistente architectuurbaseline met controleerbare releasevoorwaarden en een realistische ontwikkelvolgorde.</w:t>
      </w:r>
    </w:p>
    <w:p>
      <w:pPr>
        <w:ind w:left="245" w:right="144"/>
      </w:pPr>
      <w:r>
        <w:rPr>
          <w:b/>
          <w:i/>
          <w:color w:val="14525B"/>
        </w:rPr>
        <w:t>Samenvattend oordeel:</w:t>
      </w:r>
      <w:r>
        <w:rPr>
          <w:i/>
          <w:color w:val="14525B"/>
        </w:rPr>
        <w:t xml:space="preserve"> </w:t>
      </w:r>
      <w:r>
        <w:rPr>
          <w:b/>
          <w:i/>
          <w:color w:val="14525B"/>
        </w:rPr>
        <w:t>GO voor technische uitwerking en ontwikkeling in lokale/stagingomgevingen; NO-GO voor productie met echte klantgegevens totdat de P0-veiligheids-, herstel- en operationele eisen aantoonbaar zijn bewezen.</w:t>
      </w:r>
      <w:r>
        <w:rPr>
          <w:i/>
          <w:color w:val="14525B"/>
        </w:rPr>
        <w:t xml:space="preserve"> De kernarchitectuur is goedgekeurd; enkele leveranciers, concrete deploymentconfiguraties en herstelmechanismen staan nog open.</w:t>
      </w:r>
    </w:p>
    <w:p>
      <w:pPr>
        <w:pStyle w:val="Heading1"/>
      </w:pPr>
      <w:r>
        <w:t>1. Besluitenregister A-01 t/m A-10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rPr>
          <w:cantSplit/>
        </w:trPr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Besluit</w:t>
            </w:r>
          </w:p>
        </w:tc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Beslisstatus</w:t>
            </w:r>
          </w:p>
        </w:tc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Technisch voorbehoud / toets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A-01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Eén modulaire centrale Conversion Engine; vier logisch gescheiden workerrollen; klantwebsites onafhankelijk gedeployd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Goedgekeurd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Geen vier verplichte microservices of servers; leadopslag onafhankelijk van AI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A-02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Eén gedeelde relationele PostgreSQL-database; strikte tenantisolatie met backendautorisatie, RLS en tenantveilige relaties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Goedgekeurd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Cross-tenant tests, connection pooling en werkelijke DB-rollen toetsen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A-03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Beheerde of zorgvuldig beheerde auth, rollen, sessies en audit; </w:t>
            </w:r>
            <w:r>
              <w:rPr>
                <w:b/>
                <w:sz w:val="14"/>
              </w:rPr>
              <w:t>MFA verplicht voor Platform Admin, Business Owner en Team Member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Goedgekeurd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Identityprovider en herstelprocedures nog kiezen, AAL/MFA server-side afdwingen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A-04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Genormaliseerd datamodel; organisatie kan meerdere websites bezitten, Basis één actieve; financiële ontvangsten/correcties traceerbaar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Goedgekeurd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Concrete SQL-DDL, RLS-policies en migraties volgen in implementatievoorbereiding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A-05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Transactional outbox, betrouwbare jobs, aparte capaciteit/prioriteiten voor lead, productie, monitoring en intelligence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Goedgekeurd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pg-boss voorkeurskandidaat; retries, dubbele verwerking en queue-isolatie testen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A-06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Deterministische workflow-engine; AI maximaal één inhoudelijke reactie, policy-based opvolging; </w:t>
            </w:r>
            <w:r>
              <w:rPr>
                <w:b/>
                <w:sz w:val="14"/>
              </w:rPr>
              <w:t>prompt-injectieverdediging is P0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Goedgekeurd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Adversarial tests, tool-/providerrechten en fail-closed gedrag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A-07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Centrale veilige integratielaag, scoped credentials, webhookvalidatie, privacyvriendelijke </w:t>
            </w:r>
            <w:r>
              <w:rPr>
                <w:b/>
                <w:sz w:val="14"/>
              </w:rPr>
              <w:t>reply-router</w:t>
            </w:r>
            <w:r>
              <w:rPr>
                <w:sz w:val="14"/>
              </w:rPr>
              <w:t xml:space="preserve"> zonder mailboxread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Goedgekeurd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Inbound e-mailprovider en antwoordcorrelatie nog aantonen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A-08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Hybride model; eigen </w:t>
            </w:r>
            <w:r>
              <w:rPr>
                <w:b/>
                <w:sz w:val="14"/>
              </w:rPr>
              <w:t>Hostinger-VPS</w:t>
            </w:r>
            <w:r>
              <w:rPr>
                <w:sz w:val="14"/>
              </w:rPr>
              <w:t xml:space="preserve"> voor centrale app; onafhankelijke webdeployments; geïsoleerde zware runners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Goedgekeurd, providerkeuze bijgewerkt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VPS-locatie/resources controleren; sandbox- en netwerkisolatie bewijzen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A-09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Astro, React/TS, Node/Fastify, PostgreSQL, Drizzle, Sanity, Playwright, Docker/CI; </w:t>
            </w:r>
            <w:r>
              <w:rPr>
                <w:b/>
                <w:sz w:val="14"/>
              </w:rPr>
              <w:t>Mistral-first</w:t>
            </w:r>
            <w:r>
              <w:rPr>
                <w:sz w:val="14"/>
              </w:rPr>
              <w:t xml:space="preserve"> met geëvalueerde alternatieven; GA4/GSC/Clarity/DataForSEO blijven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Kernstack goedgekeurd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Providerselectie DB/identity/e-mail deels open; Sanity-projectmodel onderzoeken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A-10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Per-tenant kostenregistratie, AI/e-mailbudgetalerts, supportmeting en schaalvergroting op echte belasting; Basis €249/mnd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Goedgekeurd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Kostenmodel indicatief, nog geen offerte of nettowinstbegroting</w:t>
            </w:r>
          </w:p>
        </w:tc>
      </w:tr>
    </w:tbl>
    <w:p>
      <w:pPr>
        <w:spacing w:after="20"/>
      </w:pPr>
    </w:p>
    <w:p>
      <w:r>
        <w:rPr>
          <w:b/>
        </w:rPr>
        <w:t>Nadere beslissing na A-09:</w:t>
      </w:r>
      <w:r>
        <w:t xml:space="preserve"> voor start/pilot </w:t>
      </w:r>
      <w:r>
        <w:rPr>
          <w:b/>
        </w:rPr>
        <w:t>zelfgehoste PostgreSQL in Docker op bestaande Hostinger-VPS</w:t>
      </w:r>
      <w:r>
        <w:t xml:space="preserve">. Dure managed PostgreSQL wordt nu niet afgenomen; eventueel later migreren. Iedere nacht </w:t>
      </w:r>
      <w:r>
        <w:rPr>
          <w:rFonts w:ascii="Consolas" w:hAnsi="Consolas"/>
          <w:color w:val="135667"/>
          <w:sz w:val="15"/>
        </w:rPr>
        <w:t>pg_dump</w:t>
      </w:r>
      <w:r>
        <w:t xml:space="preserve">/versleutelde offsite EU-backup, rotatie 7 dagen dagelijks / 4 weken / 6 maanden, alerting en maandelijkse restauratietest zijn goedgekeurd. Het voorlopige </w:t>
      </w:r>
      <w:r>
        <w:rPr>
          <w:b/>
        </w:rPr>
        <w:t>RPO ≤ 1 uur / RTO ≤ 4 uur</w:t>
      </w:r>
      <w:r>
        <w:t xml:space="preserve"> blijft doel voor productie met echte klant-/financiële gegevens en vereist WAL/PITR en een bewezen herstelprocedure. Dagelijkse dumps alleen halen het RPO-doel niet.</w:t>
      </w:r>
    </w:p>
    <w:p>
      <w:pPr>
        <w:pStyle w:val="Heading1"/>
      </w:pPr>
      <w:r>
        <w:t>2. Geconsolideerde doelarchitectuur</w:t>
      </w:r>
    </w:p>
    <w:p>
      <w:pPr>
        <w:pStyle w:val="Caption"/>
      </w:pPr>
      <w:r>
        <w:t>Logische systeemstroom: klantwebsite en dashboard → API → PostgreSQL en outbox → vier afzonderlijke workerrollen → e-mail, AI, Sanity, analytics en staging. Offsite-backups en private opslag zijn apart beveiligd.</w:t>
      </w:r>
    </w:p>
    <w:p>
      <w:pPr>
        <w:pStyle w:val="Heading2"/>
      </w:pPr>
      <w:r>
        <w:t>2.1 Architectuurprincipes</w:t>
      </w:r>
    </w:p>
    <w:p>
      <w:pPr>
        <w:pStyle w:val="ListBullet"/>
      </w:pPr>
      <w:r>
        <w:rPr>
          <w:b/>
        </w:rPr>
        <w:t>Modulaire monoliet:</w:t>
      </w:r>
      <w:r>
        <w:t xml:space="preserve"> domeinen gescheiden in code, contracten en autorisatie; geen vroegtijdige microservices.</w:t>
      </w:r>
    </w:p>
    <w:p>
      <w:pPr>
        <w:pStyle w:val="ListBullet"/>
      </w:pPr>
      <w:r>
        <w:rPr>
          <w:b/>
        </w:rPr>
        <w:t>De database is de bron van waarheid:</w:t>
      </w:r>
      <w:r>
        <w:t xml:space="preserve"> voor leads, deals, afspraken, daadwerkelijk handmatig geregistreerde ontvangsten, goedkeuringen en events. GA4 is geen CRM-bron.</w:t>
      </w:r>
    </w:p>
    <w:p>
      <w:pPr>
        <w:pStyle w:val="ListBullet"/>
      </w:pPr>
      <w:r>
        <w:rPr>
          <w:b/>
        </w:rPr>
        <w:t>Multi-tenant is een veiligheidsgrens:</w:t>
      </w:r>
      <w:r>
        <w:t xml:space="preserve"> applicatierol, membership en recordtoewijzing + PostgreSQL-RLS + samengestelde tenant-foreign keys waar relevant. Geen tenantwaarde blind vertrouwen uit browser, job of webhook.</w:t>
      </w:r>
    </w:p>
    <w:p>
      <w:pPr>
        <w:pStyle w:val="ListBullet"/>
      </w:pPr>
      <w:r>
        <w:rPr>
          <w:b/>
        </w:rPr>
        <w:t>Betrouwbaar boven intelligent:</w:t>
      </w:r>
      <w:r>
        <w:t xml:space="preserve"> AI-, mail- of provideruitval mag vastlegging van een geldige lead niet blokkeren. Onduidelijke verzendstatus leidt niet tot blind opnieuw verzenden.</w:t>
      </w:r>
    </w:p>
    <w:p>
      <w:pPr>
        <w:pStyle w:val="ListBullet"/>
      </w:pPr>
      <w:r>
        <w:rPr>
          <w:b/>
        </w:rPr>
        <w:t>AI is adviserend:</w:t>
      </w:r>
      <w:r>
        <w:t xml:space="preserve"> externe brondata is onvertrouwd; backendpolicies en mensen bepalen acties, verzending, scope en publicatie.</w:t>
      </w:r>
    </w:p>
    <w:p>
      <w:pPr>
        <w:pStyle w:val="ListBullet"/>
      </w:pPr>
      <w:r>
        <w:rPr>
          <w:b/>
        </w:rPr>
        <w:t>Klantwebsites zijn onafhankelijk:</w:t>
      </w:r>
      <w:r>
        <w:t xml:space="preserve"> individuele deploy, rollback, domein, contentconfig en origin van een lead. Geen eigen CRM-backend per site.</w:t>
      </w:r>
    </w:p>
    <w:p>
      <w:pPr>
        <w:pStyle w:val="ListBullet"/>
      </w:pPr>
      <w:r>
        <w:rPr>
          <w:b/>
        </w:rPr>
        <w:t>Opslag gescheiden naar gevoeligheid:</w:t>
      </w:r>
      <w:r>
        <w:t xml:space="preserve"> Sanity voor websitecontent; CRM en financiële records in PostgreSQL; vertrouwelijke bijlagen in niet-publieke objectopslag.</w:t>
      </w:r>
    </w:p>
    <w:p>
      <w:pPr>
        <w:pStyle w:val="ListBullet"/>
      </w:pPr>
      <w:r>
        <w:rPr>
          <w:b/>
        </w:rPr>
        <w:t>European-first maar pragmatisch:</w:t>
      </w:r>
      <w:r>
        <w:t xml:space="preserve"> Hostinger behouden (EU-datacenter nog verifiëren), Sanity behouden, Mistral-first; andere modellen als kwaliteitswinst en AVG/vendor-toets dit toelaten; Google/Microsoft analytische koppelingen toegestaan.</w:t>
      </w:r>
    </w:p>
    <w:p>
      <w:pPr>
        <w:pStyle w:val="Heading1"/>
      </w:pPr>
      <w:r>
        <w:t>3. Kritieke ketens en consistente productgrenzen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rPr>
          <w:cantSplit/>
        </w:trPr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Keten</w:t>
            </w:r>
          </w:p>
        </w:tc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Minimale werking</w:t>
            </w:r>
          </w:p>
        </w:tc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Verboden koppeling / uitzondering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Websitebezoeker → formulier → CRM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Valideer/rate limit → submission+outbox in één transactie → worker → CRM/AI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Geen AI-call voor duurzame opslag; geen vertrouwen in browsergestuurd tenant-ID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Lead → eerste AI-antwoord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Classificeer, policycheck, streng outputcontract, max één inhoudelijke AI-reply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Geen toolbevoegdheid om bedragen, tenant, ontvanger of webhooks te wijzigen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Follow-up → menselijke overname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Max één toegestane vooraf goedgekeurde reminder na 48 uur als aantoonbaar geen antwoord; na verdere 48 uur menselijke taak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Bij onbekende reply-status geen automatische reminder; geen mailboxbreed uitlezen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Commerciële conversie → onboarding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Overeenkomst → tenant/Owner uitnodigen met MFA → Q1–Q4 met 39 directe kernvragen plus gerichte vervolgvragen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Onboarding niet vóór verkoop; geen verlies van de 123 bewaarde datavelden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Project Brief → site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Broncontrole/intake → Gate A → sandboxed AI-productie → staging/QA → klantinhoud akkoord + Gate B → deployment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Geen automatische productie zonder Gate A, geen publicatie zonder Gate B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Formuliermonitoring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 xml:space="preserve">UI-check elke 30 min </w:t>
            </w:r>
            <w:r>
              <w:rPr>
                <w:b/>
                <w:sz w:val="15"/>
              </w:rPr>
              <w:t>zonder</w:t>
            </w:r>
            <w:r>
              <w:rPr>
                <w:sz w:val="15"/>
              </w:rPr>
              <w:t xml:space="preserve"> backend-submit; veilige volledige synthetische test iedere 3 dagen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Geen testleads in salesstatistiek; geen commerciële AI/e-mail/reminderflow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Website Intelligence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GA4, GSC, Clarity, DataForSEO snapshots → brongebonden maandadvies → Westend-review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Geen niet-bestaande demografie, identificatie van onbekende bezoekers of auto-publicatie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Financiële rapportage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Dealprojectie ≠ gewonnen contract ≠ handmatig vastgelegde ontvangst; auditbare correcties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Geen betaalverwerking, facturatie of boekhoudvervanging in Basis</w:t>
            </w:r>
          </w:p>
        </w:tc>
      </w:tr>
    </w:tbl>
    <w:p>
      <w:pPr>
        <w:spacing w:after="20"/>
      </w:pPr>
    </w:p>
    <w:p>
      <w:r>
        <w:rPr>
          <w:b/>
        </w:rPr>
        <w:t>MVP-scope blijft gelijk aan Fase 2.</w:t>
      </w:r>
      <w:r>
        <w:t xml:space="preserve"> €999 standaardimplementatie en €249 Basis p/m; één actieve website, één leadmagnet, drie gemonitorde formulieren, Owner + twee Team Members, fair-use 500 AI-processings/maand, 2.000 operationele e-mails en 1 GB CRM-bijlagen. Geen automatische leadblokkade door quota. Growth (€499) met uitgebreidere automations, volledig klantgestuurd CMS en zelfstandig SEO-publiceren zijn geen verplichtingen van de MVP. Support blijft e-mail/formulier, geen intern ticketsysteem.</w:t>
      </w:r>
    </w:p>
    <w:p>
      <w:pPr>
        <w:pStyle w:val="Heading1"/>
      </w:pPr>
      <w:r>
        <w:t>4. Technische conflicten en correcties uit deze review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rPr>
          <w:cantSplit/>
        </w:trPr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Nr</w:t>
            </w:r>
          </w:p>
        </w:tc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Geconstateerd spanningsveld</w:t>
            </w:r>
          </w:p>
        </w:tc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Geconsolideerde regel</w:t>
            </w:r>
          </w:p>
        </w:tc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Prioriteit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C-01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Dagelijkse dumps geven tot circa 24 uur dataverlies, terwijl eerder RPO 1 uur als doel is vastgesteld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Dagelijkse dumps voor ontwikkeling; vóór productie met echte klantdata WAL/PITR, onafhankelijke kopieën en hersteloefening aantonen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C-02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App, Postgres en workers op één Hostinger-VPS zijn een single point of failure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Pilotopzet toegestaan als risico is beschreven en gemonitord; backup is geen high availability, uitwijk/herstart + alerting verplicht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C-03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Authprovider nog open, MFA wel verplicht voor iedere rol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Geen productielogin zonder server-side verplichte MFA, veilige enrollment/recovery, replay-/sessietests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C-04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Reply-router goedgekeurd, maar provider en e-mailreply-correlatie ontbreken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Controle op provider/webhook/sender/correlation; onbekende status → menselijke taak, géén automatische reminder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C-05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Playwright en onbetrouwbare AI-builds kunnen vertrouwelijke VPS-data raken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Afzonderlijke uitvoergrens, uitgaand netwerkbeleid, resourceplafonds; AI-builds nooit met productiecredentials of host-Docker-socket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C-06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Sanity biedt content, maar niet automatisch veilige tenantafscherming voor alle redacteurs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Alleen Westend beheert MVP-content; multi-project/dataset-keuze, rechten en kosten eerst bewijzen; geen financiële data of private bijlagen in publieke assets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C-07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'AI geeft JSON' beschermt niet tegen prompt injection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Onafhankelijke deterministische policy, contentbeveiliging, afgeschermde providerrechten, red-team en geautomatiseerde misbruiktests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C-08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A-10 bijdragepercentages kunnen lijken op nettowinst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Bijdrage alleen na gemodelleerde directe kosten; acquisitie, algemene overhead, development, incidenten e.d. ontbreken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C-09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Bedrijfs- en wettelijke bewaartermijnen nog niet concreet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AVG-grondslag, DPA's, subverwerkers, bewaartermijnen, verwijdering/export, datalekprocedure vóór livegang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C-10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‘Twee gates’ versus aparte intakecontrole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 xml:space="preserve">Intakecontrole is onderdeel van Gate A; </w:t>
            </w:r>
            <w:r>
              <w:rPr>
                <w:b/>
                <w:sz w:val="14"/>
              </w:rPr>
              <w:t>precies twee formele productie-gates</w:t>
            </w:r>
            <w:r>
              <w:rPr>
                <w:sz w:val="14"/>
              </w:rPr>
              <w:t xml:space="preserve"> A en B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Afgerond</w:t>
            </w:r>
          </w:p>
        </w:tc>
      </w:tr>
    </w:tbl>
    <w:p>
      <w:pPr>
        <w:spacing w:after="20"/>
      </w:pPr>
    </w:p>
    <w:p>
      <w:pPr>
        <w:pStyle w:val="Heading1"/>
      </w:pPr>
      <w:r>
        <w:t>5. Open beslissingen — geen heropening van goedgekeurde hoofdlijnen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rPr>
          <w:cantSplit/>
        </w:trPr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Open punt</w:t>
            </w:r>
          </w:p>
        </w:tc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Voorgestelde beslistermijn</w:t>
            </w:r>
          </w:p>
        </w:tc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Besliskader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U-01 Exacte Hostinger-VPS-regio, cores/RAM/disk, vrije capaciteit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Start Fase 5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EU-locatie, resourceheadroom, fysieke host en netwerkvoorzieningen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U-02 Authprovider (EU-first) en MFA-/accountrecoveryprotocol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Vóór eerste multi-user staging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TOTP/passkeys waar beschikbaar, recovery met hoog beschermingsniveau, operationele kosten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U-03 Transactionele e-mail plus inkomende reply-router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Vóór AI-mailflow-test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Verified inbound webhook, replies per conversatie, bounce/delivery, EU-processing, reële kosten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U-04 Backuprepository en WAL/PITR-inrichting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Vóór echte productiegegevens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Offsite EU, sleutelbeheer, immutability/retentie, restore mét objectopslag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U-05 Private bijlagenopslag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Vóór eerste echte bijlage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EU-residency, per-tenant autorisatie, signed URLs, malwarecontrole en retentie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U-06 Exacte worker/queue-implementatie en isolatie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Tijdens infrastructuur-PoC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pg-boss-kandidaat, één DB-outbox, retries, limieten, isolatie, voldoende capaciteit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U-07 Sanity-project-/datasetmodel en kosten per klant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Vóór tweede pilotwebsite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Scheiding, editorrollen, schema-uitrol, licentie- en quota-impact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U-08 Hosting van individuele Astro-sites en DNS/publicatie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Vóór eerste Gate B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Onafhankelijke deployment/rollback, TLS, eigen domein, privacy/dataregio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U-09 AI-providerbeleid per taak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Vóór klant-AI activeren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Mistral-first; benchmark NL taal, kwaliteit, kosten, latentie, privacy, prompt-injection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U-10 Privacy/compliance voor analytics, mail, AI en Clarity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Vóór eerste externe productie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Verwerkersafspraken, doorgiften, toestemming, DPIA-screening en dataminimalisatie</w:t>
            </w:r>
          </w:p>
        </w:tc>
      </w:tr>
    </w:tbl>
    <w:p>
      <w:pPr>
        <w:spacing w:after="20"/>
      </w:pPr>
    </w:p>
    <w:p>
      <w:r>
        <w:rPr>
          <w:b/>
        </w:rPr>
        <w:t>Géén verplichting om managed PostgreSQL nu te selecteren.</w:t>
      </w:r>
      <w:r>
        <w:t xml:space="preserve"> Bij onacceptabele VPS-belasting of onhaalbare RPO/RTO zal de keuze opnieuw voorgelegd worden; het is geen reeds verleende toestemming voor een duurder abonnement.</w:t>
      </w:r>
    </w:p>
    <w:p>
      <w:pPr>
        <w:pStyle w:val="Heading1"/>
      </w:pPr>
      <w:r>
        <w:t>6. Risicoregister: productieblokkerende punten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rPr>
          <w:cantSplit/>
        </w:trPr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Risico</w:t>
            </w:r>
          </w:p>
        </w:tc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Effect</w:t>
            </w:r>
          </w:p>
        </w:tc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Minimum mitigatie / acceptatiebewijs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R-01 Onbedoelde cross-tenant toegang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Datalek van klanten en financiële waarden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RLS + minimale DB-rol, samengestelde FK's, API/worker/exports/storage-tests met twee testtenants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R-02 Enkelvoudige VPS-uitval/ransomware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Beschikbaarheid verloren en mogelijk databaseverlies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Externe versleutelde backup, getest volledige restore, monitoring, toegangs- en sleutelhardening; hersteldoel getoetst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R-03 Onvolledige MFA of support-bypass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Accountovername / privilege-escalatie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MFA voor elke rol en route, gecontroleerde recovery, gescheiden adminrechten, audit van supportinzage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R-04 Prompt injection uit lead of site/document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Ongeautoriseerde e-mail, datalek of foutieve content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Uitvoerpolicy buiten LLM, geen willekeurige tools/destinations, adversarial suite en sandboxing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R-05 Dubbele/onzekere mailverzending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Meervoudige antwoorden en reputatieschade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Outbox, idempotente verzendregistratie, delivery/webhookverificatie; send_unknown fail-closed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R-06 Synthetische Playwright-lead in live pipeline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Foute CRM-cijfers, onterechte mail of acties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Ondertekende testclaim, server-side testisolatie, AI-/salesonderdrukking vóór queueing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R-07 Sleutels in build-/monitorproces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Brede compromise van alle klantprojecten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Gescheiden service-identiteiten, secrets nooit in browser/LLM/logs, minimale scoped tokens, geïsoleerde runners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R-08 Onbeheerst AI- of e-mailverbruik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Margeverlies en onverwachte rekening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Budgetalerts per tenant, modelrouting alleen toegestane providers, throttling zonder leadverlies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R-09 Niet-uitvoerbaar herstel van individuele tenant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Dataverlies of foutieve restore van anderen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Restore naar aparte omgeving, gecontroleerde tenantreconstructie zonder globaal terugdraaien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R-10 Privacy-/bewaarbeleid ontbreekt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Juridische en operationele risico's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DPA's, dataregister, retentie, export/verwijderingsworkflow, incidentprotocol en consentbeleid</w:t>
            </w:r>
          </w:p>
        </w:tc>
      </w:tr>
    </w:tbl>
    <w:p>
      <w:pPr>
        <w:spacing w:after="20"/>
      </w:pPr>
    </w:p>
    <w:p>
      <w:pPr>
        <w:pStyle w:val="Heading1"/>
      </w:pPr>
      <w:r>
        <w:t>7. Aanbevolen ontwikkelvolgorde (Fase 5)</w:t>
      </w:r>
    </w:p>
    <w:p>
      <w:r>
        <w:rPr>
          <w:b/>
        </w:rPr>
        <w:t>Fase 5 wordt implementatievoorbereiding met dunne, testbare verticale slices; pas daarna bouw in productiescope.</w:t>
      </w:r>
      <w:r>
        <w:t xml:space="preserve"> Geen tijdsbelofte zonder technische intake van bestaande code en VPS.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7"/>
        <w:gridCol w:w="3417"/>
        <w:gridCol w:w="3417"/>
      </w:tblGrid>
      <w:tr>
        <w:trPr>
          <w:cantSplit/>
        </w:trPr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Stap</w:t>
            </w:r>
          </w:p>
        </w:tc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Minimale oplevering</w:t>
            </w:r>
          </w:p>
        </w:tc>
        <w:tc>
          <w:tcPr>
            <w:tcW w:type="dxa" w:w="3417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Exit-criterium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F5-00 Foundation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Repositorystructuur, branchbeleid, CI, secretbeleid, ontwikkel-/stagingomgevingen, Docker zonder root waar toepasbaar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Reproduceerbare deploy, geen secrets in repo/logs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F5-01 Identity &amp; multi-tenancy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Auth/MFA alle rollen, memberships, permissions, PostgreSQL-DDL + RLS, tests voor A/B-tenant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Cross-tenant attempts geblokkeerd onder runtime-rol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F5-02 Lead capture &amp; CRM-kern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Websites/formconfig, submission+outbox, contacten, leads, taken, deals, financiële events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Geldige aanvraag blijft bestaan bij AI-/mailuitval; correcte audit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F5-03 Automation &amp; e-mail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AI Gateway, intenties, policy-engine, één antwoord, reply-router, reminderregels en menselijke fallback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Attack-, duplicate-, unknown- en reply-tests geslaagd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F5-04 Onboarding → websiteproductie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Q1–Q4 + Project Brief, Gate A, componentbibliotheek, Sanity-content, staging, Gate B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Twee klantprojecten gescheiden bouwen en terugrollen</w:t>
            </w:r>
          </w:p>
        </w:tc>
      </w:tr>
      <w:tr>
        <w:trPr>
          <w:cantSplit/>
        </w:trPr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F5-05 Monitoring &amp; website-intelligence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Veilige Playwright-paden, GA4/GSC/Clarity/DataForSEO ingest, rapportreview</w:t>
            </w:r>
          </w:p>
        </w:tc>
        <w:tc>
          <w:tcPr>
            <w:tcW w:type="dxa" w:w="3417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Synthetische tests zijn commercieel inert; bronherkomst traceerbaar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F5-06 Pilot-readiness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WAL/PITR, offsite backups, restore/tenant recovery, incidenten, privacycheck, load-test, supportprocedures</w:t>
            </w:r>
          </w:p>
        </w:tc>
        <w:tc>
          <w:tcPr>
            <w:tcW w:type="dxa" w:w="3417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Alle P0-releasegates aantoonbaar groen; daarna beperkte productielancering</w:t>
            </w:r>
          </w:p>
        </w:tc>
      </w:tr>
    </w:tbl>
    <w:p>
      <w:pPr>
        <w:spacing w:after="20"/>
      </w:pPr>
    </w:p>
    <w:p>
      <w:r>
        <w:rPr>
          <w:b/>
        </w:rPr>
        <w:t>Bouwvoorrang:</w:t>
      </w:r>
      <w:r>
        <w:t xml:space="preserve"> eerst fundament en betrouwbare leadopslag, vervolgens CRM/AI/e-mail, daarna websiteproductie en intelligence. Parallel prototypes mogen, mits geen ongeteste live-gegevensverwerking.</w:t>
      </w:r>
    </w:p>
    <w:p>
      <w:pPr>
        <w:pStyle w:val="Heading1"/>
      </w:pPr>
      <w:r>
        <w:t>8. Productierelease-gates — harde acceptatiecriteria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6"/>
        <w:gridCol w:w="5126"/>
      </w:tblGrid>
      <w:tr>
        <w:trPr>
          <w:cantSplit/>
        </w:trPr>
        <w:tc>
          <w:tcPr>
            <w:tcW w:type="dxa" w:w="5126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5126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</w:r>
            <w:r>
              <w:rPr>
                <w:b/>
                <w:color w:val="FFFFFF"/>
                <w:sz w:val="15"/>
              </w:rPr>
              <w:t>Must pass vóór externe klantproductie</w:t>
            </w:r>
          </w:p>
        </w:tc>
      </w:tr>
      <w:tr>
        <w:trPr>
          <w:cantSplit/>
        </w:trPr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SEC-01</w:t>
            </w:r>
          </w:p>
        </w:tc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MFA voor Admin, Owner en Team Member is API- en sessiebreed afgedwongen; veilig recoveryproces werkt</w:t>
            </w:r>
          </w:p>
        </w:tc>
      </w:tr>
      <w:tr>
        <w:trPr>
          <w:cantSplit/>
        </w:trPr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SEC-02</w:t>
            </w:r>
          </w:p>
        </w:tc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Rollen, toegewezen deals en financiële veldrechten zijn getest; Team heeft geen tenantbrede omzettoegang</w:t>
            </w:r>
          </w:p>
        </w:tc>
      </w:tr>
      <w:tr>
        <w:trPr>
          <w:cantSplit/>
        </w:trPr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SEC-03</w:t>
            </w:r>
          </w:p>
        </w:tc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Negatieve tenanttests voor API, SQL/RLS, jobs, files, exports en analytics voorkomen cross-tenant toegang</w:t>
            </w:r>
          </w:p>
        </w:tc>
      </w:tr>
      <w:tr>
        <w:trPr>
          <w:cantSplit/>
        </w:trPr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SEC-04</w:t>
            </w:r>
          </w:p>
        </w:tc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Prompt-injectie- en exfiltratietests op leadformulieren, webinhoud, documenten en codebuilds slagen</w:t>
            </w:r>
          </w:p>
        </w:tc>
      </w:tr>
      <w:tr>
        <w:trPr>
          <w:cantSplit/>
        </w:trPr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SEC-05</w:t>
            </w:r>
          </w:p>
        </w:tc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Productiesecrets ontbreken in AI-requests, websitebuilds, repo, screenshots en algemene logs</w:t>
            </w:r>
          </w:p>
        </w:tc>
      </w:tr>
      <w:tr>
        <w:trPr>
          <w:cantSplit/>
        </w:trPr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DATA-01</w:t>
            </w:r>
          </w:p>
        </w:tc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Dagelijkse versleutelde offsite backups, WAL/PITR en alarmsignalen zijn operationeel</w:t>
            </w:r>
          </w:p>
        </w:tc>
      </w:tr>
      <w:tr>
        <w:trPr>
          <w:cantSplit/>
        </w:trPr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DATA-02</w:t>
            </w:r>
          </w:p>
        </w:tc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Een volledige restore én afzonderlijke tenantrecovery zijn getest; doel RPO ≤1u / RTO ≤4u aangetoond of formeel herzien vóór verkoopclaim</w:t>
            </w:r>
          </w:p>
        </w:tc>
      </w:tr>
      <w:tr>
        <w:trPr>
          <w:cantSplit/>
        </w:trPr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LEAD-01</w:t>
            </w:r>
          </w:p>
        </w:tc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Submission+outbox atomair; AI/mail-downscenario veroorzaakt geen verloren geldig leadrecord</w:t>
            </w:r>
          </w:p>
        </w:tc>
      </w:tr>
      <w:tr>
        <w:trPr>
          <w:cantSplit/>
        </w:trPr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MAIL-01</w:t>
            </w:r>
          </w:p>
        </w:tc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Eén inhoudelijk AI-antwoord maximaal; onbekende verzend-/reply-status leidt niet tot automatisch opnieuw mailen/reminden</w:t>
            </w:r>
          </w:p>
        </w:tc>
      </w:tr>
      <w:tr>
        <w:trPr>
          <w:cantSplit/>
        </w:trPr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MON-01</w:t>
            </w:r>
          </w:p>
        </w:tc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30-minutenchecks raken backend niet; ondertekende ketentest onderdrukt AI, sales en echte ontvangst</w:t>
            </w:r>
          </w:p>
        </w:tc>
      </w:tr>
      <w:tr>
        <w:trPr>
          <w:cantSplit/>
        </w:trPr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PUB-01</w:t>
            </w:r>
          </w:p>
        </w:tc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Gate A en B server-side, versiegebonden en niet door AI/Team te omzeilen; staging/rollback getest</w:t>
            </w:r>
          </w:p>
        </w:tc>
      </w:tr>
      <w:tr>
        <w:trPr>
          <w:cantSplit/>
        </w:trPr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OPS-01</w:t>
            </w:r>
          </w:p>
        </w:tc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Monitoring van queues, database, disk, backups, certificaten en incidentmelding werkt en iemand is verantwoordelijk</w:t>
            </w:r>
          </w:p>
        </w:tc>
      </w:tr>
      <w:tr>
        <w:trPr>
          <w:cantSplit/>
        </w:trPr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LEG-01</w:t>
            </w:r>
          </w:p>
        </w:tc>
        <w:tc>
          <w:tcPr>
            <w:tcW w:type="dxa" w:w="5126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Contractueel/AVG-kader voor providers, retentie, verwerkingsgrondslagen, export/verwijdering en Clarity/GA4 is vastgelegd</w:t>
            </w:r>
          </w:p>
        </w:tc>
      </w:tr>
      <w:tr>
        <w:trPr>
          <w:cantSplit/>
        </w:trPr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COST-01</w:t>
            </w:r>
          </w:p>
        </w:tc>
        <w:tc>
          <w:tcPr>
            <w:tcW w:type="dxa" w:w="5126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5"/>
              </w:rPr>
            </w:r>
            <w:r>
              <w:rPr>
                <w:sz w:val="15"/>
              </w:rPr>
              <w:t>Verbruik, budgetwaarschuwingen, Sanity-seats, supporturen en beschikbaarheidskosten worden per tenant gemeten</w:t>
            </w:r>
          </w:p>
        </w:tc>
      </w:tr>
    </w:tbl>
    <w:p>
      <w:pPr>
        <w:spacing w:after="20"/>
      </w:pPr>
    </w:p>
    <w:p>
      <w:r>
        <w:t>Een test is pas geslaagd wanneer het bewijs (run, datum, omgeving, versie en verwachte uitkomst) bewaard blijft. Succesvolle unit tests bewijzen geen productieherstel of AVG-compliance.</w:t>
      </w:r>
    </w:p>
    <w:p>
      <w:pPr>
        <w:pStyle w:val="Heading1"/>
      </w:pPr>
      <w:r>
        <w:t>9. Financiële toets A-10 — indicatieve cijfers, niet nettowinst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3"/>
        <w:gridCol w:w="2563"/>
        <w:gridCol w:w="2563"/>
        <w:gridCol w:w="2563"/>
      </w:tblGrid>
      <w:tr>
        <w:trPr>
          <w:cantSplit/>
        </w:trPr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Maandscenario</w:t>
            </w:r>
          </w:p>
        </w:tc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5 klanten</w:t>
            </w:r>
          </w:p>
        </w:tc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25 klanten</w:t>
            </w:r>
          </w:p>
        </w:tc>
        <w:tc>
          <w:tcPr>
            <w:tcW w:type="dxa" w:w="2563"/>
            <w:shd w:fill="173C51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color w:val="FFFFFF"/>
                <w:sz w:val="14"/>
              </w:rPr>
              <w:t>100 klanten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Omzet Basis (€249/tenant)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€1.245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€6.225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€24.900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Direct toegerekende kosten incl. support en operations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€301,99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€1.192,99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€4.454,99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Bijdrage na deze kosten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€943,01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€5.032,01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€20.445,01</w:t>
            </w:r>
          </w:p>
        </w:tc>
      </w:tr>
      <w:tr>
        <w:trPr>
          <w:cantSplit/>
        </w:trPr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Bijdragemarge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75,7%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80,8%</w:t>
            </w:r>
          </w:p>
        </w:tc>
        <w:tc>
          <w:tcPr>
            <w:tcW w:type="dxa" w:w="2563"/>
            <w:vAlign w:val="center"/>
            <w:shd w:fill="F2F6F8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82,1%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Gecombineerde zware stresstest — marge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22,5%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27,5%</w:t>
            </w:r>
          </w:p>
        </w:tc>
        <w:tc>
          <w:tcPr>
            <w:tcW w:type="dxa" w:w="2563"/>
            <w:vAlign w:val="center"/>
            <w:tcBorders>
              <w:bottom w:val="single" w:sz="4" w:color="E2E9EF"/>
            </w:tcBorders>
          </w:tcPr>
          <w:p>
            <w:pPr>
              <w:spacing w:after="0" w:before="0" w:line="247" w:lineRule="auto"/>
            </w:pPr>
            <w:r>
              <w:rPr>
                <w:sz w:val="14"/>
              </w:rPr>
            </w:r>
            <w:r>
              <w:rPr>
                <w:sz w:val="14"/>
              </w:rPr>
              <w:t>28,8%</w:t>
            </w:r>
          </w:p>
        </w:tc>
      </w:tr>
    </w:tbl>
    <w:p>
      <w:pPr>
        <w:spacing w:after="20"/>
      </w:pPr>
    </w:p>
    <w:p>
      <w:r>
        <w:rPr>
          <w:b/>
        </w:rPr>
        <w:t>Beperkingen:</w:t>
      </w:r>
      <w:r>
        <w:t xml:space="preserve"> gebruik en prijzen zijn hypotheses, geen live metingen of offertes; acquisitie, doorontwikkeling, overhead, belastingen, securityincidenten en complexere support ontbreken. De bestaande VPS verlaagt mogelijke nieuwe cashuitgaven, niet noodzakelijk de volledige economische kostprijs. De stressmarge benadrukt dat support, modelkeuze en Sanity-licenties commercieel relevant zijn.</w:t>
      </w:r>
    </w:p>
    <w:p>
      <w:r>
        <w:rPr>
          <w:b/>
        </w:rPr>
        <w:t>Monitoring bij 100 tenants:</w:t>
      </w:r>
      <w:r>
        <w:t xml:space="preserve"> 100 × 3 formulieren × 48 checks per dag × 30 dagen = </w:t>
      </w:r>
      <w:r>
        <w:rPr>
          <w:b/>
        </w:rPr>
        <w:t>432.000 browser-frontchecks per maand</w:t>
      </w:r>
      <w:r>
        <w:t xml:space="preserve"> plus circa 3.000 veilige ketentests. Dit is een capaciteitsverificatiepunt, geen bewijs dat de huidige VPS dit kan verwerken.</w:t>
      </w:r>
    </w:p>
    <w:p>
      <w:pPr>
        <w:pStyle w:val="Heading1"/>
      </w:pPr>
      <w:r>
        <w:t>10. Uitkomst en volgende beslissing</w:t>
      </w:r>
    </w:p>
    <w:p>
      <w:r>
        <w:rPr>
          <w:b/>
        </w:rPr>
        <w:t>Goedgekeurd om nu te doen:</w:t>
      </w:r>
      <w:r>
        <w:t xml:space="preserve"> technische implementatievoorbereiding (Fase 5), database-DDL/RLS ontwerpen, infrastructuur- en security-PoC's, staging, tests, start van modulaire applicatie en gecontroleerd hergebruik van Westend-systemen.</w:t>
      </w:r>
    </w:p>
    <w:p>
      <w:r>
        <w:rPr>
          <w:b/>
        </w:rPr>
        <w:t>Nog niet goedgekeurd:</w:t>
      </w:r>
      <w:r>
        <w:t xml:space="preserve"> echte financiële klantdata in een onbewezen VPS-opzet verwerken, alle workloads onbeperkt op dezelfde host uitvoeren, productiepublicatie zonder Gate B, managed databasecontracten zonder prijsbesluit, niet-getoetste AI-providerfallback, klanten directe Sanity-schrijfrechten geven.</w:t>
      </w:r>
    </w:p>
    <w:p>
      <w:r>
        <w:rPr>
          <w:b/>
        </w:rPr>
        <w:t>Definitief besluit (goedgekeurd 18 oktober 2026):</w:t>
      </w:r>
      <w:r>
        <w:t xml:space="preserve"> dit document is de </w:t>
      </w:r>
      <w:r>
        <w:rPr>
          <w:b/>
        </w:rPr>
        <w:t>Fase 4 — Technische Architectuur v1.0</w:t>
      </w:r>
      <w:r>
        <w:t xml:space="preserve"> inclusief open uitvoeringsbesluiten U-01 t/m U-10 en verplichte P0-productiereleasegates. Fase 5 start met een technische audit van bestaande Hostinger-VPS en code, repository-/modulegrenzen, PostgreSQL-DDL/RLS en twee proof-of-concepts: tenantveilige leadopslag en disaster recovery. De goedkeuring van Fase 4 is geen toestemming voor productielivegang.</w:t>
      </w:r>
    </w:p>
    <w:p>
      <w:r>
        <w:rPr>
          <w:b/>
        </w:rPr>
        <w:t>Bronverwijzing interne documenten:</w:t>
      </w:r>
      <w:r>
        <w:t xml:space="preserve"> </w:t>
      </w:r>
      <w:r>
        <w:rPr>
          <w:rFonts w:ascii="Consolas" w:hAnsi="Consolas"/>
          <w:color w:val="135667"/>
          <w:sz w:val="15"/>
        </w:rPr>
        <w:t>fase-2-requirements-scope-definitief-v1.0.md</w:t>
      </w:r>
      <w:r>
        <w:t xml:space="preserve">; </w:t>
      </w:r>
      <w:r>
        <w:rPr>
          <w:rFonts w:ascii="Consolas" w:hAnsi="Consolas"/>
          <w:color w:val="135667"/>
          <w:sz w:val="15"/>
        </w:rPr>
        <w:t>fase-3-ux-ui-user-flows-definitief-v1.0.md</w:t>
      </w:r>
      <w:r>
        <w:t xml:space="preserve">; </w:t>
      </w:r>
      <w:r>
        <w:rPr>
          <w:rFonts w:ascii="Consolas" w:hAnsi="Consolas"/>
          <w:color w:val="135667"/>
          <w:sz w:val="15"/>
        </w:rPr>
        <w:t>fase-4-systeemarchitectuur-procesgrenzen-v0.1.md</w:t>
      </w:r>
      <w:r>
        <w:t xml:space="preserve">; </w:t>
      </w:r>
      <w:r>
        <w:rPr>
          <w:rFonts w:ascii="Consolas" w:hAnsi="Consolas"/>
          <w:color w:val="135667"/>
          <w:sz w:val="15"/>
        </w:rPr>
        <w:t>fase-4-a04-datamodel-relaties-v0.2.md</w:t>
      </w:r>
      <w:r>
        <w:t xml:space="preserve">; </w:t>
      </w:r>
      <w:r>
        <w:rPr>
          <w:rFonts w:ascii="Consolas" w:hAnsi="Consolas"/>
          <w:color w:val="135667"/>
          <w:sz w:val="15"/>
        </w:rPr>
        <w:t>fase-4-a07-integraties-api-beveiliging-v0.1.md</w:t>
      </w:r>
      <w:r>
        <w:t xml:space="preserve">; </w:t>
      </w:r>
      <w:r>
        <w:rPr>
          <w:rFonts w:ascii="Consolas" w:hAnsi="Consolas"/>
          <w:color w:val="135667"/>
          <w:sz w:val="15"/>
        </w:rPr>
        <w:t>fase-4-a08-hosting-docker-deployment-v0.1.md</w:t>
      </w:r>
      <w:r>
        <w:t xml:space="preserve">; </w:t>
      </w:r>
      <w:r>
        <w:rPr>
          <w:rFonts w:ascii="Consolas" w:hAnsi="Consolas"/>
          <w:color w:val="135667"/>
          <w:sz w:val="15"/>
        </w:rPr>
        <w:t>fase-4-a09-technologiestack-providerselectie-v0.1.md</w:t>
      </w:r>
      <w:r>
        <w:t xml:space="preserve">; </w:t>
      </w:r>
      <w:r>
        <w:rPr>
          <w:rFonts w:ascii="Consolas" w:hAnsi="Consolas"/>
          <w:color w:val="135667"/>
          <w:sz w:val="15"/>
        </w:rPr>
        <w:t>fase-4-a09c-europese-providerselectie-v0.1.md</w:t>
      </w:r>
      <w:r>
        <w:t xml:space="preserve">; </w:t>
      </w:r>
      <w:r>
        <w:rPr>
          <w:rFonts w:ascii="Consolas" w:hAnsi="Consolas"/>
          <w:color w:val="135667"/>
          <w:sz w:val="15"/>
        </w:rPr>
        <w:t>fase-4-a10-kosten-schaalbaarheid-v0.1.md</w:t>
      </w:r>
      <w:r>
        <w:t>.</w:t>
      </w:r>
    </w:p>
    <w:p>
      <w:pPr>
        <w:pStyle w:val="Heading1"/>
      </w:pPr>
      <w:r>
        <w:t>11. Formele vastlegging en overdracht naar Fase 5</w:t>
      </w:r>
    </w:p>
    <w:p>
      <w:pPr/>
      <w:r>
        <w:rPr>
          <w:b/>
        </w:rPr>
        <w:t xml:space="preserve">Goedkeuring: </w:t>
      </w:r>
      <w:r>
        <w:t>18 oktober 2026; de integrale review v0.9 en voorgestelde ontwikkelvolgorde zijn geaccepteerd. Deze v1.0 is de leidende architectuurbaseline.</w:t>
      </w:r>
    </w:p>
    <w:p>
      <w:pPr/>
      <w:r>
        <w:rPr>
          <w:b/>
        </w:rPr>
        <w:t xml:space="preserve">Vastliggende keuzes: </w:t>
      </w:r>
      <w:r>
        <w:t>Besluiten A-01 t/m A-10, inclusief Hostinger VPS, eigen PostgreSQL, verplichte MFA voor alle rollen, Sanity, Google/Microsoft analytics, Mistral-first AI, prompt-injectieverdediging en versleutelde offsite-backups.</w:t>
      </w:r>
    </w:p>
    <w:p>
      <w:pPr/>
      <w:r>
        <w:rPr>
          <w:b/>
        </w:rPr>
        <w:t xml:space="preserve">Open keuzes: </w:t>
      </w:r>
      <w:r>
        <w:t>U-01 t/m U-10 zijn bewust niet impliciet goedgekeurd. Providercontracten en productierisicoacceptatie vereisen afzonderlijke beslissingen.</w:t>
      </w:r>
    </w:p>
    <w:p>
      <w:pPr/>
      <w:r>
        <w:rPr>
          <w:b/>
        </w:rPr>
        <w:t xml:space="preserve">Start Fase 5: </w:t>
      </w:r>
      <w:r>
        <w:t>Read-only technische inventarisatie van bestaande code en VPS, daarna foundationplanning, databaseontwerp/RLS en beveiligings-PoC’s. Geen wachtwoorden, API-sleutels, herstelcodes of productiegegevens uitwisselen via chats.</w:t>
      </w:r>
    </w:p>
    <w:p>
      <w:pPr/>
      <w:r>
        <w:rPr>
          <w:b/>
        </w:rPr>
        <w:t xml:space="preserve">Productiegrens: </w:t>
      </w:r>
      <w:r>
        <w:t>Geen echte klant- of financiële data verwerken voordat alle relevante P0-releasegates aantoonbaar zijn geslaagd.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994" w:bottom="835" w:left="994" w:header="461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8491"/>
        <w:sz w:val="14"/>
      </w:rPr>
      <w:t xml:space="preserve">ARCHITECTUURREVIEW  •  FASE 4  •  V1.0                                   18 OKT 2026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b/>
        <w:color w:val="778491"/>
        <w:sz w:val="14"/>
      </w:rPr>
      <w:t>WESTEND DIGITAL   /   CONVERSION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29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837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837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837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7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Westend Conversion Engine — Fase 4 Integrale Architectuurreview v0.9</dc:title>
  <dc:subject>Besluiten A-01 t/m A-10, risico’s en ontwikkelgereedheid</dc:subject>
  <dc:creator>Westend Digital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