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Westend Digital Conversion Engine</w:t>
      </w:r>
    </w:p>
    <w:p>
      <w:pPr>
        <w:pStyle w:val="Heading2"/>
        <w:keepNext/>
      </w:pPr>
      <w:r>
        <w:t>Fase 3 — UX/UI &amp; User Flows | Definitieve UX-baseline v1.0</w:t>
      </w:r>
    </w:p>
    <w:p>
      <w:r>
        <w:rPr>
          <w:b/>
        </w:rPr>
        <w:t>Datum:</w:t>
      </w:r>
      <w:r>
        <w:t xml:space="preserve"> 17 oktober 2026</w:t>
      </w:r>
    </w:p>
    <w:p>
      <w:r>
        <w:rPr>
          <w:b/>
        </w:rPr>
        <w:t>Status: GOEDGEKEURD — Fase 3 afgesloten op 17 oktober 2026</w:t>
      </w:r>
      <w:r/>
    </w:p>
    <w:p>
      <w:r>
        <w:rPr>
          <w:b/>
        </w:rPr>
        <w:t>Productbasis:</w:t>
      </w:r>
      <w:r>
        <w:t xml:space="preserve"> Fase 2 Requirements &amp; Scope v1.0; klantomgeving v0.4; Westend-beheeromgeving v0.2; Project Brief Review v0.3; onboardingoptimalisatie v1.1.</w:t>
      </w:r>
    </w:p>
    <w:p>
      <w:r>
        <w:rPr>
          <w:b/>
        </w:rPr>
        <w:t>Doel: vastgestelde UX-, interactie- en ontwerpbasis voor Fase 4 (technische architectuur).</w:t>
      </w:r>
      <w:r/>
    </w:p>
    <w:p>
      <w:pPr>
        <w:ind w:left="227" w:right="227"/>
      </w:pPr>
      <w:r>
        <w:rPr>
          <w:b/>
        </w:rPr>
        <w:t>Kernprincipe:</w:t>
      </w:r>
      <w:r>
        <w:t xml:space="preserve"> de ondernemer ziet wat hij vandaag moet doen en wat zijn website oplevert. Westend ziet welke klanten, projecten, websites en systemen aandacht nodig hebben. AI en analytics helpen bij besluitvorming; ze doen geen onbeheerde publicaties of doen geen verzonnen claims.</w:t>
      </w:r>
    </w:p>
    <w:p/>
    <w:p>
      <w:pPr>
        <w:pStyle w:val="Title"/>
      </w:pPr>
      <w:r>
        <w:t>1. Samenvatting en besluitstatus</w:t>
      </w:r>
    </w:p>
    <w:p>
      <w:r>
        <w:t xml:space="preserve">De vier onboardingvragenlijsten zijn akkoord; de </w:t>
      </w:r>
      <w:r>
        <w:rPr>
          <w:b/>
        </w:rPr>
        <w:t>geoptimaliseerde v1.1-flow ná commerciële conversie</w:t>
      </w:r>
      <w:r>
        <w:t xml:space="preserve"> is bevestigd. Q1–Q4 behouden 123 datavelden, maar de UX toont 39 directe strategische kernvragen; overige data komt uit geverifieerde prefill, conditionele vragen, optionele verdieping, afleiding of prelaunch-controles. Vier inhoudelijke modules blijven intact.</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Domein</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Bestaand besluit</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t>UX-baseline v1.0</w:t>
            </w:r>
            <w:r>
              <w:rPr>
                <w:b/>
                <w:color w:val="FFFFFF"/>
                <w:sz w:val="16"/>
              </w:rPr>
            </w:r>
          </w:p>
        </w:tc>
      </w:tr>
      <w:tr>
        <w:tc>
          <w:tcPr>
            <w:tcW w:type="dxa" w:w="3251"/>
            <w:vAlign w:val="center"/>
            <w:tcMar>
              <w:top w:w="85" w:type="dxa"/>
              <w:start w:w="85" w:type="dxa"/>
              <w:bottom w:w="85" w:type="dxa"/>
              <w:end w:w="85" w:type="dxa"/>
            </w:tcMar>
          </w:tcPr>
          <w:p>
            <w:pPr>
              <w:spacing w:after="0" w:line="247" w:lineRule="auto"/>
            </w:pPr>
            <w:r>
              <w:rPr>
                <w:sz w:val="16"/>
              </w:rPr>
            </w:r>
            <w:r>
              <w:rPr>
                <w:sz w:val="16"/>
              </w:rPr>
              <w:t>Product</w:t>
            </w:r>
          </w:p>
        </w:tc>
        <w:tc>
          <w:tcPr>
            <w:tcW w:type="dxa" w:w="3251"/>
            <w:vAlign w:val="center"/>
            <w:tcMar>
              <w:top w:w="85" w:type="dxa"/>
              <w:start w:w="85" w:type="dxa"/>
              <w:bottom w:w="85" w:type="dxa"/>
              <w:end w:w="85" w:type="dxa"/>
            </w:tcMar>
          </w:tcPr>
          <w:p>
            <w:pPr>
              <w:spacing w:after="0" w:line="247" w:lineRule="auto"/>
            </w:pPr>
            <w:r>
              <w:rPr>
                <w:sz w:val="16"/>
              </w:rPr>
            </w:r>
            <w:r>
              <w:rPr>
                <w:sz w:val="16"/>
              </w:rPr>
              <w:t>Standaardwebsite €999 + Conversion Engine €249/maand, maatwerk apart</w:t>
            </w:r>
          </w:p>
        </w:tc>
        <w:tc>
          <w:tcPr>
            <w:tcW w:type="dxa" w:w="3251"/>
            <w:vAlign w:val="center"/>
            <w:tcMar>
              <w:top w:w="85" w:type="dxa"/>
              <w:start w:w="85" w:type="dxa"/>
              <w:bottom w:w="85" w:type="dxa"/>
              <w:end w:w="85" w:type="dxa"/>
            </w:tcMar>
          </w:tcPr>
          <w:p>
            <w:pPr>
              <w:spacing w:after="0" w:line="247" w:lineRule="auto"/>
            </w:pPr>
            <w:r>
              <w:rPr>
                <w:sz w:val="16"/>
              </w:rPr>
            </w:r>
            <w:r>
              <w:rPr>
                <w:sz w:val="16"/>
              </w:rPr>
              <w:t>Eén platform; maatwerk kan dezelfde Conversion Engine optioneel gebruiken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Klant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en Team Member</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Actiegerichte schermen; server-side autorisatie vereist</w:t>
            </w:r>
          </w:p>
        </w:tc>
      </w:tr>
      <w:tr>
        <w:tc>
          <w:tcPr>
            <w:tcW w:type="dxa" w:w="3251"/>
            <w:vAlign w:val="center"/>
            <w:tcMar>
              <w:top w:w="85" w:type="dxa"/>
              <w:start w:w="85" w:type="dxa"/>
              <w:bottom w:w="85" w:type="dxa"/>
              <w:end w:w="85" w:type="dxa"/>
            </w:tcMar>
          </w:tcPr>
          <w:p>
            <w:pPr>
              <w:spacing w:after="0" w:line="247" w:lineRule="auto"/>
            </w:pPr>
            <w:r>
              <w:rPr>
                <w:sz w:val="16"/>
              </w:rPr>
            </w:r>
            <w:r>
              <w:rPr>
                <w:sz w:val="16"/>
              </w:rPr>
              <w:t>Teamfinanciën</w:t>
            </w:r>
          </w:p>
        </w:tc>
        <w:tc>
          <w:tcPr>
            <w:tcW w:type="dxa" w:w="3251"/>
            <w:vAlign w:val="center"/>
            <w:tcMar>
              <w:top w:w="85" w:type="dxa"/>
              <w:start w:w="85" w:type="dxa"/>
              <w:bottom w:w="85" w:type="dxa"/>
              <w:end w:w="85" w:type="dxa"/>
            </w:tcMar>
          </w:tcPr>
          <w:p>
            <w:pPr>
              <w:spacing w:after="0" w:line="247" w:lineRule="auto"/>
            </w:pPr>
            <w:r>
              <w:rPr>
                <w:sz w:val="16"/>
              </w:rPr>
            </w:r>
            <w:r>
              <w:rPr>
                <w:sz w:val="16"/>
              </w:rPr>
              <w:t>Owner kiest zichtbaarheid</w:t>
            </w:r>
          </w:p>
        </w:tc>
        <w:tc>
          <w:tcPr>
            <w:tcW w:type="dxa" w:w="3251"/>
            <w:vAlign w:val="center"/>
            <w:tcMar>
              <w:top w:w="85" w:type="dxa"/>
              <w:start w:w="85" w:type="dxa"/>
              <w:bottom w:w="85" w:type="dxa"/>
              <w:end w:w="85" w:type="dxa"/>
            </w:tcMar>
          </w:tcPr>
          <w:p>
            <w:pPr>
              <w:spacing w:after="0" w:line="247" w:lineRule="auto"/>
            </w:pPr>
            <w:r>
              <w:rPr>
                <w:sz w:val="16"/>
              </w:rPr>
            </w:r>
            <w:r>
              <w:rPr>
                <w:sz w:val="16"/>
              </w:rPr>
              <w:t xml:space="preserve">Schakelaar </w:t>
            </w:r>
            <w:r>
              <w:rPr>
                <w:rFonts w:ascii="Consolas" w:hAnsi="Consolas"/>
                <w:sz w:val="16"/>
              </w:rPr>
              <w:t>toon toegewezen dealwaarde</w:t>
            </w:r>
            <w:r>
              <w:rPr>
                <w:sz w:val="16"/>
              </w:rPr>
              <w:t>, standaard uit; nooit algemene omzet of ontvangsten voor team</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Onboarding</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Q1–Q4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 xml:space="preserve">Start </w:t>
            </w:r>
            <w:r>
              <w:rPr>
                <w:b/>
                <w:sz w:val="16"/>
              </w:rPr>
              <w:t>na</w:t>
            </w:r>
            <w:r>
              <w:rPr>
                <w:sz w:val="16"/>
              </w:rPr>
              <w:t xml:space="preserve"> overeenkomst/betalingsafhandeling; autosave, herkomst, gefaseerde vragen</w:t>
            </w:r>
          </w:p>
        </w:tc>
      </w:tr>
      <w:tr>
        <w:tc>
          <w:tcPr>
            <w:tcW w:type="dxa" w:w="3251"/>
            <w:vAlign w:val="center"/>
            <w:tcMar>
              <w:top w:w="85" w:type="dxa"/>
              <w:start w:w="85" w:type="dxa"/>
              <w:bottom w:w="85" w:type="dxa"/>
              <w:end w:w="85" w:type="dxa"/>
            </w:tcMar>
          </w:tcPr>
          <w:p>
            <w:pPr>
              <w:spacing w:after="0" w:line="247" w:lineRule="auto"/>
            </w:pPr>
            <w:r>
              <w:rPr>
                <w:sz w:val="16"/>
              </w:rPr>
            </w:r>
            <w:r>
              <w:rPr>
                <w:sz w:val="16"/>
              </w:rPr>
              <w:t>Productie</w:t>
            </w:r>
          </w:p>
        </w:tc>
        <w:tc>
          <w:tcPr>
            <w:tcW w:type="dxa" w:w="3251"/>
            <w:vAlign w:val="center"/>
            <w:tcMar>
              <w:top w:w="85" w:type="dxa"/>
              <w:start w:w="85" w:type="dxa"/>
              <w:bottom w:w="85" w:type="dxa"/>
              <w:end w:w="85" w:type="dxa"/>
            </w:tcMar>
          </w:tcPr>
          <w:p>
            <w:pPr>
              <w:spacing w:after="0" w:line="247" w:lineRule="auto"/>
            </w:pPr>
            <w:r>
              <w:rPr>
                <w:sz w:val="16"/>
              </w:rPr>
            </w:r>
            <w:r>
              <w:rPr>
                <w:sz w:val="16"/>
              </w:rPr>
              <w:t>Interne AI-pipeline</w:t>
            </w:r>
          </w:p>
        </w:tc>
        <w:tc>
          <w:tcPr>
            <w:tcW w:type="dxa" w:w="3251"/>
            <w:vAlign w:val="center"/>
            <w:tcMar>
              <w:top w:w="85" w:type="dxa"/>
              <w:start w:w="85" w:type="dxa"/>
              <w:bottom w:w="85" w:type="dxa"/>
              <w:end w:w="85" w:type="dxa"/>
            </w:tcMar>
          </w:tcPr>
          <w:p>
            <w:pPr>
              <w:spacing w:after="0" w:line="247" w:lineRule="auto"/>
            </w:pPr>
            <w:r>
              <w:rPr>
                <w:sz w:val="16"/>
              </w:rPr>
            </w:r>
            <w:r>
              <w:rPr>
                <w:sz w:val="16"/>
              </w:rPr>
              <w:t>Alleen Westend geeft strategie en publicatie vrij</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Data</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GA4, Search Console, Clarity, DataForSEO, CRM</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Bron/meetperiode/freshness/dekking zichtbaar; ontbrekend is niet nul</w:t>
            </w:r>
          </w:p>
        </w:tc>
      </w:tr>
      <w:tr>
        <w:tc>
          <w:tcPr>
            <w:tcW w:type="dxa" w:w="3251"/>
            <w:vAlign w:val="center"/>
            <w:tcMar>
              <w:top w:w="85" w:type="dxa"/>
              <w:start w:w="85" w:type="dxa"/>
              <w:bottom w:w="85" w:type="dxa"/>
              <w:end w:w="85" w:type="dxa"/>
            </w:tcMar>
          </w:tcPr>
          <w:p>
            <w:pPr>
              <w:spacing w:after="0" w:line="247" w:lineRule="auto"/>
            </w:pPr>
            <w:r>
              <w:rPr>
                <w:sz w:val="16"/>
              </w:rPr>
            </w:r>
            <w:r>
              <w:rPr>
                <w:sz w:val="16"/>
              </w:rPr>
              <w:t>AI-advies</w:t>
            </w:r>
          </w:p>
        </w:tc>
        <w:tc>
          <w:tcPr>
            <w:tcW w:type="dxa" w:w="3251"/>
            <w:vAlign w:val="center"/>
            <w:tcMar>
              <w:top w:w="85" w:type="dxa"/>
              <w:start w:w="85" w:type="dxa"/>
              <w:bottom w:w="85" w:type="dxa"/>
              <w:end w:w="85" w:type="dxa"/>
            </w:tcMar>
          </w:tcPr>
          <w:p>
            <w:pPr>
              <w:spacing w:after="0" w:line="247" w:lineRule="auto"/>
            </w:pPr>
            <w:r>
              <w:rPr>
                <w:sz w:val="16"/>
              </w:rPr>
            </w:r>
            <w:r>
              <w:rPr>
                <w:sz w:val="16"/>
              </w:rPr>
              <w:t>Maandrapport met kansen</w:t>
            </w:r>
          </w:p>
        </w:tc>
        <w:tc>
          <w:tcPr>
            <w:tcW w:type="dxa" w:w="3251"/>
            <w:vAlign w:val="center"/>
            <w:tcMar>
              <w:top w:w="85" w:type="dxa"/>
              <w:start w:w="85" w:type="dxa"/>
              <w:bottom w:w="85" w:type="dxa"/>
              <w:end w:w="85" w:type="dxa"/>
            </w:tcMar>
          </w:tcPr>
          <w:p>
            <w:pPr>
              <w:spacing w:after="0" w:line="247" w:lineRule="auto"/>
            </w:pPr>
            <w:r>
              <w:rPr>
                <w:sz w:val="16"/>
              </w:rPr>
            </w:r>
            <w:r>
              <w:rPr>
                <w:sz w:val="16"/>
              </w:rPr>
              <w:t>Conceptadvies, menselijke review, klant vraagt uitvoering aan; geen automatische wijzigingen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Monitoring</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Playwright 30m + 3-daags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Frontendstatus en volledige ketenstatus afzonderlijk; veilige testinzendingen</w:t>
            </w:r>
          </w:p>
        </w:tc>
      </w:tr>
      <w:tr>
        <w:tc>
          <w:tcPr>
            <w:tcW w:type="dxa" w:w="3251"/>
            <w:vAlign w:val="center"/>
            <w:tcMar>
              <w:top w:w="85" w:type="dxa"/>
              <w:start w:w="85" w:type="dxa"/>
              <w:bottom w:w="85" w:type="dxa"/>
              <w:end w:w="85" w:type="dxa"/>
            </w:tcMar>
          </w:tcPr>
          <w:p>
            <w:pPr>
              <w:spacing w:after="0" w:line="247" w:lineRule="auto"/>
            </w:pPr>
            <w:r>
              <w:rPr>
                <w:sz w:val="16"/>
              </w:rPr>
            </w:r>
            <w:r>
              <w:rPr>
                <w:sz w:val="16"/>
              </w:rPr>
              <w:t>Support</w:t>
            </w:r>
          </w:p>
        </w:tc>
        <w:tc>
          <w:tcPr>
            <w:tcW w:type="dxa" w:w="3251"/>
            <w:vAlign w:val="center"/>
            <w:tcMar>
              <w:top w:w="85" w:type="dxa"/>
              <w:start w:w="85" w:type="dxa"/>
              <w:bottom w:w="85" w:type="dxa"/>
              <w:end w:w="85" w:type="dxa"/>
            </w:tcMar>
          </w:tcPr>
          <w:p>
            <w:pPr>
              <w:spacing w:after="0" w:line="247" w:lineRule="auto"/>
            </w:pPr>
            <w:r>
              <w:rPr>
                <w:sz w:val="16"/>
              </w:rPr>
            </w:r>
            <w:r>
              <w:rPr>
                <w:sz w:val="16"/>
              </w:rPr>
              <w:t>Supportmail + formulier</w:t>
            </w:r>
          </w:p>
        </w:tc>
        <w:tc>
          <w:tcPr>
            <w:tcW w:type="dxa" w:w="3251"/>
            <w:vAlign w:val="center"/>
            <w:tcMar>
              <w:top w:w="85" w:type="dxa"/>
              <w:start w:w="85" w:type="dxa"/>
              <w:bottom w:w="85" w:type="dxa"/>
              <w:end w:w="85" w:type="dxa"/>
            </w:tcMar>
          </w:tcPr>
          <w:p>
            <w:pPr>
              <w:spacing w:after="0" w:line="247" w:lineRule="auto"/>
            </w:pPr>
            <w:r>
              <w:rPr>
                <w:sz w:val="16"/>
              </w:rPr>
            </w:r>
            <w:r>
              <w:rPr>
                <w:sz w:val="16"/>
              </w:rPr>
              <w:t>Centrale inbox; géén ticketproduct binnen MVP</w:t>
            </w:r>
          </w:p>
        </w:tc>
      </w:tr>
    </w:tbl>
    <w:p>
      <w:pPr>
        <w:spacing w:after="0"/>
      </w:pPr>
    </w:p>
    <w:p>
      <w:r>
        <w:rPr>
          <w:b/>
        </w:rPr>
        <w:t>Implementatiegrens: deze wireframes zijn nog geen production-ready componenten of API-/privacygaranties. De drie hoofdkeuzes in hoofdstuk 9 zijn goedgekeurd. Concrete hexwaarden, typografie en componentmaten in hoofdstuk 7 blijven verfijnbare ontwerpvoorstellen.</w:t>
      </w:r>
      <w:r/>
      <w:r>
        <w:rPr>
          <w:b/>
        </w:rPr>
      </w:r>
      <w:r/>
    </w:p>
    <w:p/>
    <w:p>
      <w:pPr>
        <w:pStyle w:val="Title"/>
      </w:pPr>
      <w:r>
        <w:t>2. Definitieve conceptuele informatiearchitectuur</w:t>
      </w:r>
    </w:p>
    <w:p>
      <w:pPr>
        <w:pStyle w:val="Heading1"/>
        <w:keepNext/>
      </w:pPr>
      <w:r>
        <w:t>2.1 Klantomgeving</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Hoofdmenu</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Doel van het scherm</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Toegang</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Vandaag</w:t>
            </w:r>
          </w:p>
        </w:tc>
        <w:tc>
          <w:tcPr>
            <w:tcW w:type="dxa" w:w="3251"/>
            <w:vAlign w:val="center"/>
            <w:tcMar>
              <w:top w:w="85" w:type="dxa"/>
              <w:start w:w="85" w:type="dxa"/>
              <w:bottom w:w="85" w:type="dxa"/>
              <w:end w:w="85" w:type="dxa"/>
            </w:tcMar>
          </w:tcPr>
          <w:p>
            <w:pPr>
              <w:spacing w:after="0" w:line="247" w:lineRule="auto"/>
            </w:pPr>
            <w:r>
              <w:rPr>
                <w:sz w:val="16"/>
              </w:rPr>
            </w:r>
            <w:r>
              <w:rPr>
                <w:sz w:val="16"/>
              </w:rPr>
              <w:t>Nieuwe leads, opvolgacties, komende afspraken; kerncijfers secundair</w:t>
            </w:r>
          </w:p>
        </w:tc>
        <w:tc>
          <w:tcPr>
            <w:tcW w:type="dxa" w:w="3251"/>
            <w:vAlign w:val="center"/>
            <w:tcMar>
              <w:top w:w="85" w:type="dxa"/>
              <w:start w:w="85" w:type="dxa"/>
              <w:bottom w:w="85" w:type="dxa"/>
              <w:end w:w="85" w:type="dxa"/>
            </w:tcMar>
          </w:tcPr>
          <w:p>
            <w:pPr>
              <w:spacing w:after="0" w:line="247" w:lineRule="auto"/>
            </w:pPr>
            <w:r>
              <w:rPr>
                <w:sz w:val="16"/>
              </w:rPr>
            </w:r>
            <w:r>
              <w:rPr>
                <w:sz w:val="16"/>
              </w:rPr>
              <w:t>Owner / Team (alleen eigen werk)</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Leads &amp; contacten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Inkomende aanvraag, bron, historie, AI-reactie, overname</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 Team (toegewezen)</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Pipeline</w:t>
            </w:r>
          </w:p>
        </w:tc>
        <w:tc>
          <w:tcPr>
            <w:tcW w:type="dxa" w:w="3251"/>
            <w:vAlign w:val="center"/>
            <w:tcMar>
              <w:top w:w="85" w:type="dxa"/>
              <w:start w:w="85" w:type="dxa"/>
              <w:bottom w:w="85" w:type="dxa"/>
              <w:end w:w="85" w:type="dxa"/>
            </w:tcMar>
          </w:tcPr>
          <w:p>
            <w:pPr>
              <w:spacing w:after="0" w:line="247" w:lineRule="auto"/>
            </w:pPr>
            <w:r>
              <w:rPr>
                <w:sz w:val="16"/>
              </w:rPr>
            </w:r>
            <w:r>
              <w:rPr>
                <w:sz w:val="16"/>
              </w:rPr>
              <w:t>Deals, fase, verantwoordelijke, gewonnen/verloren</w:t>
            </w:r>
          </w:p>
        </w:tc>
        <w:tc>
          <w:tcPr>
            <w:tcW w:type="dxa" w:w="3251"/>
            <w:vAlign w:val="center"/>
            <w:tcMar>
              <w:top w:w="85" w:type="dxa"/>
              <w:start w:w="85" w:type="dxa"/>
              <w:bottom w:w="85" w:type="dxa"/>
              <w:end w:w="85" w:type="dxa"/>
            </w:tcMar>
          </w:tcPr>
          <w:p>
            <w:pPr>
              <w:spacing w:after="0" w:line="247" w:lineRule="auto"/>
            </w:pPr>
            <w:r>
              <w:rPr>
                <w:sz w:val="16"/>
              </w:rPr>
            </w:r>
            <w:r>
              <w:rPr>
                <w:sz w:val="16"/>
              </w:rPr>
              <w:t>Owner / Team (toegewezen)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Taken &amp; afspraken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Eigen opvolging en geverifieerde afspraken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 Team (toegewezen)</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Websiteprestaties</w:t>
            </w:r>
          </w:p>
        </w:tc>
        <w:tc>
          <w:tcPr>
            <w:tcW w:type="dxa" w:w="3251"/>
            <w:vAlign w:val="center"/>
            <w:tcMar>
              <w:top w:w="85" w:type="dxa"/>
              <w:start w:w="85" w:type="dxa"/>
              <w:bottom w:w="85" w:type="dxa"/>
              <w:end w:w="85" w:type="dxa"/>
            </w:tcMar>
          </w:tcPr>
          <w:p>
            <w:pPr>
              <w:spacing w:after="0" w:line="247" w:lineRule="auto"/>
            </w:pPr>
            <w:r>
              <w:rPr>
                <w:sz w:val="16"/>
              </w:rPr>
            </w:r>
            <w:r>
              <w:rPr>
                <w:sz w:val="16"/>
              </w:rPr>
              <w:t>GA4, GSC, Clarity, SEO-kansen, AI-zichtbaarheid</w:t>
            </w:r>
          </w:p>
        </w:tc>
        <w:tc>
          <w:tcPr>
            <w:tcW w:type="dxa" w:w="3251"/>
            <w:vAlign w:val="center"/>
            <w:tcMar>
              <w:top w:w="85" w:type="dxa"/>
              <w:start w:w="85" w:type="dxa"/>
              <w:bottom w:w="85" w:type="dxa"/>
              <w:end w:w="85" w:type="dxa"/>
            </w:tcMar>
          </w:tcPr>
          <w:p>
            <w:pPr>
              <w:spacing w:after="0" w:line="247" w:lineRule="auto"/>
            </w:pPr>
            <w:r>
              <w:rPr>
                <w:sz w:val="16"/>
              </w:rPr>
            </w:r>
            <w:r>
              <w:rPr>
                <w:sz w:val="16"/>
              </w:rPr>
              <w:t>Owner; Team niet standaard</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Resultaten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CRM-conversies, contractwaarde, betalingen, maandrapport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w:t>
            </w:r>
          </w:p>
        </w:tc>
      </w:tr>
      <w:tr>
        <w:tc>
          <w:tcPr>
            <w:tcW w:type="dxa" w:w="3251"/>
            <w:vAlign w:val="center"/>
            <w:tcMar>
              <w:top w:w="85" w:type="dxa"/>
              <w:start w:w="85" w:type="dxa"/>
              <w:bottom w:w="85" w:type="dxa"/>
              <w:end w:w="85" w:type="dxa"/>
            </w:tcMar>
          </w:tcPr>
          <w:p>
            <w:pPr>
              <w:spacing w:after="0" w:line="247" w:lineRule="auto"/>
            </w:pPr>
            <w:r>
              <w:rPr>
                <w:sz w:val="16"/>
              </w:rPr>
            </w:r>
            <w:r>
              <w:rPr>
                <w:b/>
                <w:sz w:val="16"/>
              </w:rPr>
              <w:t>Instellingen</w:t>
            </w:r>
          </w:p>
        </w:tc>
        <w:tc>
          <w:tcPr>
            <w:tcW w:type="dxa" w:w="3251"/>
            <w:vAlign w:val="center"/>
            <w:tcMar>
              <w:top w:w="85" w:type="dxa"/>
              <w:start w:w="85" w:type="dxa"/>
              <w:bottom w:w="85" w:type="dxa"/>
              <w:end w:w="85" w:type="dxa"/>
            </w:tcMar>
          </w:tcPr>
          <w:p>
            <w:pPr>
              <w:spacing w:after="0" w:line="247" w:lineRule="auto"/>
            </w:pPr>
            <w:r>
              <w:rPr>
                <w:sz w:val="16"/>
              </w:rPr>
            </w:r>
            <w:r>
              <w:rPr>
                <w:sz w:val="16"/>
              </w:rPr>
              <w:t>Bedrijfsgegevens, boekingslink, teamrechten</w:t>
            </w:r>
          </w:p>
        </w:tc>
        <w:tc>
          <w:tcPr>
            <w:tcW w:type="dxa" w:w="3251"/>
            <w:vAlign w:val="center"/>
            <w:tcMar>
              <w:top w:w="85" w:type="dxa"/>
              <w:start w:w="85" w:type="dxa"/>
              <w:bottom w:w="85" w:type="dxa"/>
              <w:end w:w="85" w:type="dxa"/>
            </w:tcMar>
          </w:tcPr>
          <w:p>
            <w:pPr>
              <w:spacing w:after="0" w:line="247" w:lineRule="auto"/>
            </w:pPr>
            <w:r>
              <w:rPr>
                <w:sz w:val="16"/>
              </w:rPr>
            </w:r>
            <w:r>
              <w:rPr>
                <w:sz w:val="16"/>
              </w:rPr>
              <w:t>Owner</w:t>
            </w:r>
          </w:p>
        </w:tc>
      </w:tr>
      <w:tr>
        <w:tc>
          <w:tcPr>
            <w:tcW w:type="dxa" w:w="3251"/>
            <w:vAlign w:val="center"/>
            <w:tcMar>
              <w:top w:w="85" w:type="dxa"/>
              <w:start w:w="85" w:type="dxa"/>
              <w:bottom w:w="85" w:type="dxa"/>
              <w:end w:w="85" w:type="dxa"/>
            </w:tcMar>
            <w:shd w:fill="F4F7FC"/>
          </w:tcPr>
          <w:p>
            <w:pPr>
              <w:spacing w:after="0" w:line="247" w:lineRule="auto"/>
            </w:pPr>
            <w:r>
              <w:rPr>
                <w:sz w:val="16"/>
              </w:rPr>
            </w:r>
            <w:r>
              <w:rPr>
                <w:b/>
                <w:sz w:val="16"/>
              </w:rPr>
              <w:t>Hulp &amp; wijzigingen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Supportverzoek, websitewijziging, extern supportadres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 Team</w:t>
            </w:r>
          </w:p>
        </w:tc>
      </w:tr>
    </w:tbl>
    <w:p>
      <w:pPr>
        <w:spacing w:after="0"/>
      </w:pPr>
    </w:p>
    <w:p>
      <w:r>
        <w:t xml:space="preserve">De navigatie is </w:t>
      </w:r>
      <w:r>
        <w:rPr>
          <w:b/>
        </w:rPr>
        <w:t>rolafhankelijk</w:t>
      </w:r>
      <w:r>
        <w:t xml:space="preserve">. Het feit dat een menu is verborgen geeft géén autorisatie; API's controleren tenant, rol en recordtoewijzing. Een medewerker kan — als Owner toestemming geeft — de waarde van </w:t>
      </w:r>
      <w:r>
        <w:rPr>
          <w:b/>
        </w:rPr>
        <w:t>eigen toegewezen deals</w:t>
      </w:r>
      <w:r>
        <w:t xml:space="preserve"> zien, maar geen organisatiebrede financiële rapporten en geen betalingen.</w:t>
      </w:r>
    </w:p>
    <w:p>
      <w:pPr>
        <w:pStyle w:val="Heading1"/>
        <w:keepNext/>
      </w:pPr>
      <w:r>
        <w:t>2.2 Westend-beheeromgeving</w:t>
      </w:r>
    </w:p>
    <w:p>
      <w:r>
        <w:t xml:space="preserve">Navigatie in </w:t>
      </w:r>
      <w:r>
        <w:rPr>
          <w:b/>
        </w:rPr>
        <w:t>vijf logische groepen</w:t>
      </w:r>
      <w:r>
        <w:t>, zodat het beheer niet uitgroeit tot een lange, ongeordende menulijst:</w:t>
      </w:r>
    </w:p>
    <w:p>
      <w:pPr>
        <w:pStyle w:val="ListNumber"/>
      </w:pPr>
      <w:r>
        <w:rPr>
          <w:b/>
        </w:rPr>
        <w:t>Operations:</w:t>
      </w:r>
      <w:r>
        <w:t xml:space="preserve"> prioriteiten, incidenten, geblokkeerde projecten, gemiste checks en AI-status.</w:t>
      </w:r>
    </w:p>
    <w:p>
      <w:pPr>
        <w:pStyle w:val="ListNumber"/>
      </w:pPr>
      <w:r>
        <w:rPr>
          <w:b/>
        </w:rPr>
        <w:t>Klanten &amp; projecten:</w:t>
      </w:r>
      <w:r>
        <w:t xml:space="preserve"> tenant-/abonnementstatus, intake, Project Brief Review, productievoortgang, vrijgaven.</w:t>
      </w:r>
    </w:p>
    <w:p>
      <w:pPr>
        <w:pStyle w:val="ListNumber"/>
      </w:pPr>
      <w:r>
        <w:rPr>
          <w:b/>
        </w:rPr>
        <w:t>Websites &amp; kwaliteit:</w:t>
      </w:r>
      <w:r>
        <w:t xml:space="preserve"> websites, formulieren, leadmagnet, Playwright, technische releasecheck.</w:t>
      </w:r>
    </w:p>
    <w:p>
      <w:pPr>
        <w:pStyle w:val="ListNumber"/>
      </w:pPr>
      <w:r>
        <w:rPr>
          <w:b/>
        </w:rPr>
        <w:t>Intelligence &amp; integraties:</w:t>
      </w:r>
      <w:r>
        <w:t xml:space="preserve"> prestaties per klant, GA4/GSC/Clarity/DataForSEO, AI-zichtbaarheid, rapportreview, syncstatus en kosten.</w:t>
      </w:r>
    </w:p>
    <w:p>
      <w:pPr>
        <w:pStyle w:val="ListNumber"/>
      </w:pPr>
      <w:r>
        <w:rPr>
          <w:b/>
        </w:rPr>
        <w:t>Configuratie:</w:t>
      </w:r>
      <w:r>
        <w:t xml:space="preserve"> branchetemplates, gecontroleerde componenten, AI-/automation-regels, beperkte platforminstellingen.</w:t>
      </w:r>
    </w:p>
    <w:p>
      <w:r>
        <w:t xml:space="preserve">Support blijft een </w:t>
      </w:r>
      <w:r>
        <w:rPr>
          <w:b/>
        </w:rPr>
        <w:t>duidelijke ingang naar de centrale inbox</w:t>
      </w:r>
      <w:r>
        <w:t>, niet een nieuw ticketmenu met fictieve ticketstatussen.</w:t>
      </w:r>
    </w:p>
    <w:p>
      <w:r>
        <w:rPr>
          <w:b/>
        </w:rPr>
        <w:t>Globale klantcontext:</w:t>
      </w:r>
      <w:r>
        <w:t xml:space="preserve"> wanneer Westend klant X kiest, blijft die selectie zichtbaar bij Project Brief, Website Intelligence, Monitoring en Integraties. Een klantwissel vereist een zichtbare contextwissel, geen stille vermenging van gegevens. Toegang tot individuele klantinhoud is doelgebonden en gelogd.</w:t>
      </w:r>
    </w:p>
    <w:p/>
    <w:p>
      <w:pPr>
        <w:pStyle w:val="Title"/>
      </w:pPr>
      <w:r>
        <w:t>3. Integrale gebruikersreis, stap voor stap</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Fase</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Primair actor</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Actie / scherm</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Succes en uitzondering</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1. </w:t>
            </w:r>
            <w:r>
              <w:rPr>
                <w:b/>
                <w:sz w:val="15"/>
              </w:rPr>
              <w:t>Sales</w:t>
            </w:r>
          </w:p>
        </w:tc>
        <w:tc>
          <w:tcPr>
            <w:tcW w:type="dxa" w:w="2438"/>
            <w:vAlign w:val="center"/>
            <w:tcMar>
              <w:top w:w="85" w:type="dxa"/>
              <w:start w:w="85" w:type="dxa"/>
              <w:bottom w:w="85" w:type="dxa"/>
              <w:end w:w="85" w:type="dxa"/>
            </w:tcMar>
          </w:tcPr>
          <w:p>
            <w:pPr>
              <w:spacing w:after="0" w:line="247" w:lineRule="auto"/>
            </w:pPr>
            <w:r>
              <w:rPr>
                <w:sz w:val="15"/>
              </w:rPr>
            </w:r>
            <w:r>
              <w:rPr>
                <w:sz w:val="15"/>
              </w:rPr>
              <w:t>Westend</w:t>
            </w:r>
          </w:p>
        </w:tc>
        <w:tc>
          <w:tcPr>
            <w:tcW w:type="dxa" w:w="2438"/>
            <w:vAlign w:val="center"/>
            <w:tcMar>
              <w:top w:w="85" w:type="dxa"/>
              <w:start w:w="85" w:type="dxa"/>
              <w:bottom w:w="85" w:type="dxa"/>
              <w:end w:w="85" w:type="dxa"/>
            </w:tcMar>
          </w:tcPr>
          <w:p>
            <w:pPr>
              <w:spacing w:after="0" w:line="247" w:lineRule="auto"/>
            </w:pPr>
            <w:r>
              <w:rPr>
                <w:sz w:val="15"/>
              </w:rPr>
            </w:r>
            <w:r>
              <w:rPr>
                <w:sz w:val="15"/>
              </w:rPr>
              <w:t>Outbound → voorstel → overeenkomst en externe facturatie</w:t>
            </w:r>
          </w:p>
        </w:tc>
        <w:tc>
          <w:tcPr>
            <w:tcW w:type="dxa" w:w="2438"/>
            <w:vAlign w:val="center"/>
            <w:tcMar>
              <w:top w:w="85" w:type="dxa"/>
              <w:start w:w="85" w:type="dxa"/>
              <w:bottom w:w="85" w:type="dxa"/>
              <w:end w:w="85" w:type="dxa"/>
            </w:tcMar>
          </w:tcPr>
          <w:p>
            <w:pPr>
              <w:spacing w:after="0" w:line="247" w:lineRule="auto"/>
            </w:pPr>
            <w:r>
              <w:rPr>
                <w:sz w:val="15"/>
              </w:rPr>
            </w:r>
            <w:r>
              <w:rPr>
                <w:sz w:val="15"/>
              </w:rPr>
              <w:t>Geen uitgebreide onboarding vóór opdracht</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2. </w:t>
            </w:r>
            <w:r>
              <w:rPr>
                <w:b/>
                <w:sz w:val="15"/>
              </w:rPr>
              <w:t>Provisioning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Klant aanmaken, pakket/status, Owner uitnodigen</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Geen dubbele tenant; geen betaling in SaaS verwerken</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3. </w:t>
            </w:r>
            <w:r>
              <w:rPr>
                <w:b/>
                <w:sz w:val="15"/>
              </w:rPr>
              <w:t>Strategische intake</w:t>
            </w:r>
          </w:p>
        </w:tc>
        <w:tc>
          <w:tcPr>
            <w:tcW w:type="dxa" w:w="2438"/>
            <w:vAlign w:val="center"/>
            <w:tcMar>
              <w:top w:w="85" w:type="dxa"/>
              <w:start w:w="85" w:type="dxa"/>
              <w:bottom w:w="85" w:type="dxa"/>
              <w:end w:w="85" w:type="dxa"/>
            </w:tcMar>
          </w:tcPr>
          <w:p>
            <w:pPr>
              <w:spacing w:after="0" w:line="247" w:lineRule="auto"/>
            </w:pPr>
            <w:r>
              <w:rPr>
                <w:sz w:val="15"/>
              </w:rPr>
            </w:r>
            <w:r>
              <w:rPr>
                <w:sz w:val="15"/>
              </w:rPr>
              <w:t>Owner</w:t>
            </w:r>
          </w:p>
        </w:tc>
        <w:tc>
          <w:tcPr>
            <w:tcW w:type="dxa" w:w="2438"/>
            <w:vAlign w:val="center"/>
            <w:tcMar>
              <w:top w:w="85" w:type="dxa"/>
              <w:start w:w="85" w:type="dxa"/>
              <w:bottom w:w="85" w:type="dxa"/>
              <w:end w:w="85" w:type="dxa"/>
            </w:tcMar>
          </w:tcPr>
          <w:p>
            <w:pPr>
              <w:spacing w:after="0" w:line="247" w:lineRule="auto"/>
            </w:pPr>
            <w:r>
              <w:rPr>
                <w:sz w:val="15"/>
              </w:rPr>
            </w:r>
            <w:r>
              <w:rPr>
                <w:sz w:val="15"/>
              </w:rPr>
              <w:t>Q1–Q4, autosave, prefill, optionele verdieping</w:t>
            </w:r>
          </w:p>
        </w:tc>
        <w:tc>
          <w:tcPr>
            <w:tcW w:type="dxa" w:w="2438"/>
            <w:vAlign w:val="center"/>
            <w:tcMar>
              <w:top w:w="85" w:type="dxa"/>
              <w:start w:w="85" w:type="dxa"/>
              <w:bottom w:w="85" w:type="dxa"/>
              <w:end w:w="85" w:type="dxa"/>
            </w:tcMar>
          </w:tcPr>
          <w:p>
            <w:pPr>
              <w:spacing w:after="0" w:line="247" w:lineRule="auto"/>
            </w:pPr>
            <w:r>
              <w:rPr>
                <w:sz w:val="15"/>
              </w:rPr>
            </w:r>
            <w:r>
              <w:rPr>
                <w:sz w:val="15"/>
              </w:rPr>
              <w:t>39 kernvragen als voorgestelde basis; relevante ontbrekende input zichtbaar</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4. </w:t>
            </w:r>
            <w:r>
              <w:rPr>
                <w:b/>
                <w:sz w:val="15"/>
              </w:rPr>
              <w:t>Project Brief</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Bronnen, aannames, rechten, bewijs en meerwerk beoordelen</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Gerichte aanvulvraag mogelijk; geen AI-verzonnen feiten</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5. </w:t>
            </w:r>
            <w:r>
              <w:rPr>
                <w:b/>
                <w:sz w:val="15"/>
              </w:rPr>
              <w:t>Strategievrijgave (Gate A)</w:t>
            </w:r>
          </w:p>
        </w:tc>
        <w:tc>
          <w:tcPr>
            <w:tcW w:type="dxa" w:w="2438"/>
            <w:vAlign w:val="center"/>
            <w:tcMar>
              <w:top w:w="85" w:type="dxa"/>
              <w:start w:w="85" w:type="dxa"/>
              <w:bottom w:w="85" w:type="dxa"/>
              <w:end w:w="85" w:type="dxa"/>
            </w:tcMar>
          </w:tcPr>
          <w:p>
            <w:pPr>
              <w:spacing w:after="0" w:line="247" w:lineRule="auto"/>
            </w:pPr>
            <w:r>
              <w:rPr>
                <w:sz w:val="15"/>
              </w:rPr>
            </w:r>
            <w:r>
              <w:rPr>
                <w:sz w:val="15"/>
              </w:rPr>
              <w:t>Westend</w:t>
            </w:r>
          </w:p>
        </w:tc>
        <w:tc>
          <w:tcPr>
            <w:tcW w:type="dxa" w:w="2438"/>
            <w:vAlign w:val="center"/>
            <w:tcMar>
              <w:top w:w="85" w:type="dxa"/>
              <w:start w:w="85" w:type="dxa"/>
              <w:bottom w:w="85" w:type="dxa"/>
              <w:end w:w="85" w:type="dxa"/>
            </w:tcMar>
          </w:tcPr>
          <w:p>
            <w:pPr>
              <w:spacing w:after="0" w:line="247" w:lineRule="auto"/>
            </w:pPr>
            <w:r>
              <w:rPr>
                <w:sz w:val="15"/>
              </w:rPr>
            </w:r>
            <w:r>
              <w:rPr>
                <w:sz w:val="15"/>
              </w:rPr>
              <w:t>Brief/strategie/scope/CTA/leadmagnet beoordelen</w:t>
            </w:r>
          </w:p>
        </w:tc>
        <w:tc>
          <w:tcPr>
            <w:tcW w:type="dxa" w:w="2438"/>
            <w:vAlign w:val="center"/>
            <w:tcMar>
              <w:top w:w="85" w:type="dxa"/>
              <w:start w:w="85" w:type="dxa"/>
              <w:bottom w:w="85" w:type="dxa"/>
              <w:end w:w="85" w:type="dxa"/>
            </w:tcMar>
          </w:tcPr>
          <w:p>
            <w:pPr>
              <w:spacing w:after="0" w:line="247" w:lineRule="auto"/>
            </w:pPr>
            <w:r>
              <w:rPr>
                <w:sz w:val="15"/>
              </w:rPr>
            </w:r>
            <w:r>
              <w:rPr>
                <w:sz w:val="15"/>
              </w:rPr>
              <w:t>Pas productie starten na expliciete vrijgave</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6. </w:t>
            </w:r>
            <w:r>
              <w:rPr>
                <w:b/>
                <w:sz w:val="15"/>
              </w:rPr>
              <w:t>Productie</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Westend/AI</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Sitemap → copy → design tokens → library → staging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Agentresultaten intern; goedgekeurde componenten eerst</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7. </w:t>
            </w:r>
            <w:r>
              <w:rPr>
                <w:b/>
                <w:sz w:val="15"/>
              </w:rPr>
              <w:t>Prelaunch + Gate B</w:t>
            </w:r>
          </w:p>
        </w:tc>
        <w:tc>
          <w:tcPr>
            <w:tcW w:type="dxa" w:w="2438"/>
            <w:vAlign w:val="center"/>
            <w:tcMar>
              <w:top w:w="85" w:type="dxa"/>
              <w:start w:w="85" w:type="dxa"/>
              <w:bottom w:w="85" w:type="dxa"/>
              <w:end w:w="85" w:type="dxa"/>
            </w:tcMar>
          </w:tcPr>
          <w:p>
            <w:pPr>
              <w:spacing w:after="0" w:line="247" w:lineRule="auto"/>
            </w:pPr>
            <w:r>
              <w:rPr>
                <w:sz w:val="15"/>
              </w:rPr>
            </w:r>
            <w:r>
              <w:rPr>
                <w:sz w:val="15"/>
              </w:rPr>
              <w:t>Owner + Westend</w:t>
            </w:r>
          </w:p>
        </w:tc>
        <w:tc>
          <w:tcPr>
            <w:tcW w:type="dxa" w:w="2438"/>
            <w:vAlign w:val="center"/>
            <w:tcMar>
              <w:top w:w="85" w:type="dxa"/>
              <w:start w:w="85" w:type="dxa"/>
              <w:bottom w:w="85" w:type="dxa"/>
              <w:end w:w="85" w:type="dxa"/>
            </w:tcMar>
          </w:tcPr>
          <w:p>
            <w:pPr>
              <w:spacing w:after="0" w:line="247" w:lineRule="auto"/>
            </w:pPr>
            <w:r>
              <w:rPr>
                <w:sz w:val="15"/>
              </w:rPr>
            </w:r>
            <w:r>
              <w:rPr>
                <w:sz w:val="15"/>
              </w:rPr>
              <w:t>Contentakkoord, rechten, privacy, redirects, formulierketen en QA</w:t>
            </w:r>
          </w:p>
        </w:tc>
        <w:tc>
          <w:tcPr>
            <w:tcW w:type="dxa" w:w="2438"/>
            <w:vAlign w:val="center"/>
            <w:tcMar>
              <w:top w:w="85" w:type="dxa"/>
              <w:start w:w="85" w:type="dxa"/>
              <w:bottom w:w="85" w:type="dxa"/>
              <w:end w:w="85" w:type="dxa"/>
            </w:tcMar>
          </w:tcPr>
          <w:p>
            <w:pPr>
              <w:spacing w:after="0" w:line="247" w:lineRule="auto"/>
            </w:pPr>
            <w:r>
              <w:rPr>
                <w:sz w:val="15"/>
              </w:rPr>
            </w:r>
            <w:r>
              <w:rPr>
                <w:sz w:val="15"/>
              </w:rPr>
              <w:t>Klant geeft inhoudelijk akkoord; Westend autoriseert release</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8. </w:t>
            </w:r>
            <w:r>
              <w:rPr>
                <w:b/>
                <w:sz w:val="15"/>
              </w:rPr>
              <w:t>Live &amp; opvolging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Bezoeker + Owner</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Formulier → duurzame leadopslag → AI eerste reply → agenda → deal</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Geldige leads blijven bewaard; menselijke fallback</w:t>
            </w:r>
          </w:p>
        </w:tc>
      </w:tr>
      <w:tr>
        <w:tc>
          <w:tcPr>
            <w:tcW w:type="dxa" w:w="2438"/>
            <w:vAlign w:val="center"/>
            <w:tcMar>
              <w:top w:w="85" w:type="dxa"/>
              <w:start w:w="85" w:type="dxa"/>
              <w:bottom w:w="85" w:type="dxa"/>
              <w:end w:w="85" w:type="dxa"/>
            </w:tcMar>
          </w:tcPr>
          <w:p>
            <w:pPr>
              <w:spacing w:after="0" w:line="247" w:lineRule="auto"/>
            </w:pPr>
            <w:r>
              <w:rPr>
                <w:sz w:val="15"/>
              </w:rPr>
            </w:r>
            <w:r>
              <w:rPr>
                <w:sz w:val="15"/>
              </w:rPr>
              <w:t xml:space="preserve">9. </w:t>
            </w:r>
            <w:r>
              <w:rPr>
                <w:b/>
                <w:sz w:val="15"/>
              </w:rPr>
              <w:t>Monitoring</w:t>
            </w:r>
          </w:p>
        </w:tc>
        <w:tc>
          <w:tcPr>
            <w:tcW w:type="dxa" w:w="2438"/>
            <w:vAlign w:val="center"/>
            <w:tcMar>
              <w:top w:w="85" w:type="dxa"/>
              <w:start w:w="85" w:type="dxa"/>
              <w:bottom w:w="85" w:type="dxa"/>
              <w:end w:w="85" w:type="dxa"/>
            </w:tcMar>
          </w:tcPr>
          <w:p>
            <w:pPr>
              <w:spacing w:after="0" w:line="247" w:lineRule="auto"/>
            </w:pPr>
            <w:r>
              <w:rPr>
                <w:sz w:val="15"/>
              </w:rPr>
            </w:r>
            <w:r>
              <w:rPr>
                <w:sz w:val="15"/>
              </w:rPr>
              <w:t>Westend</w:t>
            </w:r>
          </w:p>
        </w:tc>
        <w:tc>
          <w:tcPr>
            <w:tcW w:type="dxa" w:w="2438"/>
            <w:vAlign w:val="center"/>
            <w:tcMar>
              <w:top w:w="85" w:type="dxa"/>
              <w:start w:w="85" w:type="dxa"/>
              <w:bottom w:w="85" w:type="dxa"/>
              <w:end w:w="85" w:type="dxa"/>
            </w:tcMar>
          </w:tcPr>
          <w:p>
            <w:pPr>
              <w:spacing w:after="0" w:line="247" w:lineRule="auto"/>
            </w:pPr>
            <w:r>
              <w:rPr>
                <w:sz w:val="15"/>
              </w:rPr>
            </w:r>
            <w:r>
              <w:rPr>
                <w:sz w:val="15"/>
              </w:rPr>
              <w:t>30m frontendcontrole en 3-daagse end-to-endtest</w:t>
            </w:r>
          </w:p>
        </w:tc>
        <w:tc>
          <w:tcPr>
            <w:tcW w:type="dxa" w:w="2438"/>
            <w:vAlign w:val="center"/>
            <w:tcMar>
              <w:top w:w="85" w:type="dxa"/>
              <w:start w:w="85" w:type="dxa"/>
              <w:bottom w:w="85" w:type="dxa"/>
              <w:end w:w="85" w:type="dxa"/>
            </w:tcMar>
          </w:tcPr>
          <w:p>
            <w:pPr>
              <w:spacing w:after="0" w:line="247" w:lineRule="auto"/>
            </w:pPr>
            <w:r>
              <w:rPr>
                <w:sz w:val="15"/>
              </w:rPr>
            </w:r>
            <w:r>
              <w:rPr>
                <w:sz w:val="15"/>
              </w:rPr>
              <w:t>Separaat technisch bewijs, tests onderdrukken AI en commerciële flows</w:t>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 xml:space="preserve">10. </w:t>
            </w:r>
            <w:r>
              <w:rPr>
                <w:b/>
                <w:sz w:val="15"/>
              </w:rPr>
              <w:t>Maandelijkse verbetering</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Westend + Owner</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Brondata → signalen → adviesconcept → review → rapport</w:t>
            </w:r>
          </w:p>
        </w:tc>
        <w:tc>
          <w:tcPr>
            <w:tcW w:type="dxa" w:w="2438"/>
            <w:vAlign w:val="center"/>
            <w:tcMar>
              <w:top w:w="85" w:type="dxa"/>
              <w:start w:w="85" w:type="dxa"/>
              <w:bottom w:w="85" w:type="dxa"/>
              <w:end w:w="85" w:type="dxa"/>
            </w:tcMar>
            <w:shd w:fill="F4F7FC"/>
          </w:tcPr>
          <w:p>
            <w:pPr>
              <w:spacing w:after="0" w:line="247" w:lineRule="auto"/>
            </w:pPr>
            <w:r>
              <w:rPr>
                <w:sz w:val="15"/>
              </w:rPr>
            </w:r>
            <w:r>
              <w:rPr>
                <w:sz w:val="15"/>
              </w:rPr>
              <w:t>Aanbeveling is geen automatische publicatie; meerwerk na offerte</w:t>
            </w:r>
          </w:p>
        </w:tc>
      </w:tr>
    </w:tbl>
    <w:p>
      <w:pPr>
        <w:spacing w:after="0"/>
      </w:pPr>
    </w:p>
    <w:p>
      <w:pPr>
        <w:pStyle w:val="Heading1"/>
        <w:keepNext/>
      </w:pPr>
      <w:r>
        <w:t>3.1 Goedkeuringen uniform benoemen</w:t>
      </w:r>
    </w:p>
    <w:p>
      <w:r>
        <w:t xml:space="preserve">De Review Studio toont een </w:t>
      </w:r>
      <w:r>
        <w:rPr>
          <w:b/>
        </w:rPr>
        <w:t>intakecontrole</w:t>
      </w:r>
      <w:r>
        <w:t xml:space="preserve"> en twee formele productie-gates. Om verwarring te voorkomen gebruiken we </w:t>
      </w:r>
      <w:r>
        <w:rPr>
          <w:b/>
        </w:rPr>
        <w:t>niet drie afzonderlijke verplichte akkoordmomenten</w:t>
      </w:r>
      <w:r>
        <w:t>:</w:t>
      </w:r>
    </w:p>
    <w:p>
      <w:pPr>
        <w:pStyle w:val="ListBullet"/>
      </w:pPr>
      <w:r>
        <w:rPr>
          <w:b/>
        </w:rPr>
        <w:t>Intakecontrole:</w:t>
      </w:r>
      <w:r>
        <w:t xml:space="preserve"> volledigheid, auteursrechten, bewijs en meerwerk; dit is een reviewstatus binnen Gate A, geen derde formele klantgoedkeuring.</w:t>
      </w:r>
    </w:p>
    <w:p>
      <w:pPr>
        <w:pStyle w:val="ListBullet"/>
      </w:pPr>
      <w:r>
        <w:rPr>
          <w:b/>
        </w:rPr>
        <w:t>Gate A — Strategie &amp; Scope:</w:t>
      </w:r>
      <w:r>
        <w:t xml:space="preserve"> expliciete Westend-vrijgave na goedgekeurde Project Brief en strategie.</w:t>
      </w:r>
    </w:p>
    <w:p>
      <w:pPr>
        <w:pStyle w:val="ListBullet"/>
      </w:pPr>
      <w:r>
        <w:rPr>
          <w:b/>
        </w:rPr>
        <w:t>Gate B — Publicatie:</w:t>
      </w:r>
      <w:r>
        <w:t xml:space="preserve"> klantakkoord op feitelijke inhoud én Westend-technische vrijgave na QA; dit autoriseert pas de daaropvolgende releaseactie.</w:t>
      </w:r>
    </w:p>
    <w:p>
      <w:r>
        <w:t xml:space="preserve">Bij materiële wijzigingen aan intake, strategie, prijs, beeldrechten of CTA worden afhankelijke goedkeuringen ongeldig of opnieuw ter gerichte review aangeboden. Wat precies </w:t>
      </w:r>
      <w:r>
        <w:rPr>
          <w:rFonts w:ascii="Consolas" w:hAnsi="Consolas"/>
          <w:sz w:val="16"/>
        </w:rPr>
        <w:t>materieel</w:t>
      </w:r>
      <w:r>
        <w:t xml:space="preserve"> is, wordt in Fase 4 uitgewerkt met versies en afhankelijkheden.</w:t>
      </w:r>
    </w:p>
    <w:p/>
    <w:p>
      <w:pPr>
        <w:pStyle w:val="Title"/>
      </w:pPr>
      <w:r>
        <w:t>4. UX-regels die alle modules delen</w:t>
      </w:r>
    </w:p>
    <w:p>
      <w:r>
        <w:rPr>
          <w:b/>
        </w:rPr>
        <w:t>Rechten:</w:t>
      </w:r>
      <w:r>
        <w:t xml:space="preserve"> rolkeuze in prototypes is uitsluitend een demo; productie gebruikt server-side RBAC + tenantisolatie + toewijzingen. </w:t>
      </w:r>
      <w:r>
        <w:rPr>
          <w:rFonts w:ascii="Consolas" w:hAnsi="Consolas"/>
          <w:sz w:val="16"/>
        </w:rPr>
        <w:t>deal_value_visibility_for_team</w:t>
      </w:r>
      <w:r>
        <w:t xml:space="preserve"> is standaard false. Teamleden zien nooit ontvangsten, MRR op organisatieniveau of een tenantbrede omzetwidget.</w:t>
      </w:r>
    </w:p>
    <w:p>
      <w:r>
        <w:rPr>
          <w:b/>
        </w:rPr>
        <w:t>Status &amp; taal:</w:t>
      </w:r>
      <w:r>
        <w:t xml:space="preserve"> precies onderscheid tussen </w:t>
      </w:r>
      <w:r>
        <w:rPr>
          <w:rFonts w:ascii="Consolas" w:hAnsi="Consolas"/>
          <w:sz w:val="16"/>
        </w:rPr>
        <w:t>concept</w:t>
      </w:r>
      <w:r>
        <w:t xml:space="preserve">, </w:t>
      </w:r>
      <w:r>
        <w:rPr>
          <w:rFonts w:ascii="Consolas" w:hAnsi="Consolas"/>
          <w:sz w:val="16"/>
        </w:rPr>
        <w:t>ingediend</w:t>
      </w:r>
      <w:r>
        <w:t xml:space="preserve">, </w:t>
      </w:r>
      <w:r>
        <w:rPr>
          <w:rFonts w:ascii="Consolas" w:hAnsi="Consolas"/>
          <w:sz w:val="16"/>
        </w:rPr>
        <w:t>aanvulling nodig</w:t>
      </w:r>
      <w:r>
        <w:t xml:space="preserve">, </w:t>
      </w:r>
      <w:r>
        <w:rPr>
          <w:rFonts w:ascii="Consolas" w:hAnsi="Consolas"/>
          <w:sz w:val="16"/>
        </w:rPr>
        <w:t>goedgekeurd</w:t>
      </w:r>
      <w:r>
        <w:t xml:space="preserve">, </w:t>
      </w:r>
      <w:r>
        <w:rPr>
          <w:rFonts w:ascii="Consolas" w:hAnsi="Consolas"/>
          <w:sz w:val="16"/>
        </w:rPr>
        <w:t>geblokkeerd</w:t>
      </w:r>
      <w:r>
        <w:t xml:space="preserve">, </w:t>
      </w:r>
      <w:r>
        <w:rPr>
          <w:rFonts w:ascii="Consolas" w:hAnsi="Consolas"/>
          <w:sz w:val="16"/>
        </w:rPr>
        <w:t>in behandeling</w:t>
      </w:r>
      <w:r>
        <w:t xml:space="preserve">, </w:t>
      </w:r>
      <w:r>
        <w:rPr>
          <w:rFonts w:ascii="Consolas" w:hAnsi="Consolas"/>
          <w:sz w:val="16"/>
        </w:rPr>
        <w:t>klaar voor controle</w:t>
      </w:r>
      <w:r>
        <w:t xml:space="preserve"> en </w:t>
      </w:r>
      <w:r>
        <w:rPr>
          <w:rFonts w:ascii="Consolas" w:hAnsi="Consolas"/>
          <w:sz w:val="16"/>
        </w:rPr>
        <w:t>live</w:t>
      </w:r>
      <w:r>
        <w:t xml:space="preserve">. Geen technisch jargon zoals </w:t>
      </w:r>
      <w:r>
        <w:rPr>
          <w:rFonts w:ascii="Consolas" w:hAnsi="Consolas"/>
          <w:sz w:val="16"/>
        </w:rPr>
        <w:t>webhook_unknown</w:t>
      </w:r>
      <w:r>
        <w:t xml:space="preserve"> in klantmeldingen; technische codes alleen in beheerdetail.</w:t>
      </w:r>
    </w:p>
    <w:p>
      <w:r>
        <w:rPr>
          <w:b/>
        </w:rPr>
        <w:t>Datakwaliteit:</w:t>
      </w:r>
      <w:r>
        <w:t xml:space="preserve"> een getal krijgt een bron, datum/rapportperiode en betekenis. </w:t>
      </w:r>
      <w:r>
        <w:rPr>
          <w:rFonts w:ascii="Consolas" w:hAnsi="Consolas"/>
          <w:sz w:val="16"/>
        </w:rPr>
        <w:t>niet verbonden</w:t>
      </w:r>
      <w:r>
        <w:t xml:space="preserve">, </w:t>
      </w:r>
      <w:r>
        <w:rPr>
          <w:rFonts w:ascii="Consolas" w:hAnsi="Consolas"/>
          <w:sz w:val="16"/>
        </w:rPr>
        <w:t>nog geen data</w:t>
      </w:r>
      <w:r>
        <w:t xml:space="preserve">, </w:t>
      </w:r>
      <w:r>
        <w:rPr>
          <w:rFonts w:ascii="Consolas" w:hAnsi="Consolas"/>
          <w:sz w:val="16"/>
        </w:rPr>
        <w:t>tijdelijk niet beschikbaar</w:t>
      </w:r>
      <w:r>
        <w:t xml:space="preserve">, </w:t>
      </w:r>
      <w:r>
        <w:rPr>
          <w:rFonts w:ascii="Consolas" w:hAnsi="Consolas"/>
          <w:sz w:val="16"/>
        </w:rPr>
        <w:t>verouderd</w:t>
      </w:r>
      <w:r>
        <w:t xml:space="preserve"> en </w:t>
      </w:r>
      <w:r>
        <w:rPr>
          <w:rFonts w:ascii="Consolas" w:hAnsi="Consolas"/>
          <w:sz w:val="16"/>
        </w:rPr>
        <w:t>daadwerkelijk 0</w:t>
      </w:r>
      <w:r>
        <w:t xml:space="preserve"> zijn </w:t>
      </w:r>
      <w:r>
        <w:rPr>
          <w:b/>
        </w:rPr>
        <w:t>vijf verschillende toestanden</w:t>
      </w:r>
      <w:r>
        <w:t>.</w:t>
      </w:r>
    </w:p>
    <w:p>
      <w:r>
        <w:rPr>
          <w:b/>
        </w:rPr>
        <w:t>Acties:</w:t>
      </w:r>
      <w:r>
        <w:t xml:space="preserve"> elke mutatie kent een expliciete bestemming, voorspelbare feedback, foutafhandeling en auditspoor. Risicovolle acties (AI pauzeren, deal gewonnen, betalingscorrectie, website publiceren) vragen gerichte bevestiging wanneer passend.</w:t>
      </w:r>
    </w:p>
    <w:p>
      <w:r>
        <w:rPr>
          <w:b/>
        </w:rPr>
        <w:t>Mobiel:</w:t>
      </w:r>
      <w:r>
        <w:t xml:space="preserve"> per scherm één primaire actie; kaarten in plaats van gecomprimeerde brede tabellen; pipeline als verticale fasen; menu als drawer; geen horizontale pagina-overflow op 320px, 390px of 768px.</w:t>
      </w:r>
    </w:p>
    <w:p>
      <w:r>
        <w:rPr>
          <w:b/>
        </w:rPr>
        <w:t>Toegankelijkheid:</w:t>
      </w:r>
      <w:r>
        <w:t xml:space="preserve"> toetsenbordbediening, zichtbare focus, contrast, semantische labels en foutuitleg naast velden. Kleur is nooit de enige statusindicator. Grafieken hebben tekstalternatieven en gegevensweergave.</w:t>
      </w:r>
    </w:p>
    <w:p>
      <w:r>
        <w:rPr>
          <w:b/>
        </w:rPr>
        <w:t>Privacy:</w:t>
      </w:r>
      <w:r>
        <w:t xml:space="preserve"> Clarity-opnames uitsluitend via geautoriseerde deep-links binnen Clarity, met toegangs- en toestemmingsvoorwaarden. Demografie uit GA4 is geaggregeerd en soms beperkt; koppel die </w:t>
      </w:r>
      <w:r>
        <w:rPr>
          <w:b/>
        </w:rPr>
        <w:t>niet</w:t>
      </w:r>
      <w:r>
        <w:t xml:space="preserve"> aan individuele sessieopnames. Bedrijfsherkenning van anonieme bezoekers is geen MVP-belofte.</w:t>
      </w:r>
    </w:p>
    <w:p/>
    <w:p>
      <w:pPr>
        <w:pStyle w:val="Title"/>
      </w:pPr>
      <w:r>
        <w:t>5. Heldere scheiding: CRM-resultaten, webprestaties en AI-zichtbaarheid</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Begrip</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Betrouwbare bron</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Mag niet worden verward met</w:t>
            </w:r>
          </w:p>
        </w:tc>
      </w:tr>
      <w:tr>
        <w:tc>
          <w:tcPr>
            <w:tcW w:type="dxa" w:w="3251"/>
            <w:vAlign w:val="center"/>
            <w:tcMar>
              <w:top w:w="85" w:type="dxa"/>
              <w:start w:w="85" w:type="dxa"/>
              <w:bottom w:w="85" w:type="dxa"/>
              <w:end w:w="85" w:type="dxa"/>
            </w:tcMar>
          </w:tcPr>
          <w:p>
            <w:pPr>
              <w:spacing w:after="0" w:line="247" w:lineRule="auto"/>
            </w:pPr>
            <w:r>
              <w:rPr>
                <w:sz w:val="16"/>
              </w:rPr>
            </w:r>
            <w:r>
              <w:rPr>
                <w:sz w:val="16"/>
              </w:rPr>
              <w:t>Nieuwe lead, taak, deal, ontvangst</w:t>
            </w:r>
          </w:p>
        </w:tc>
        <w:tc>
          <w:tcPr>
            <w:tcW w:type="dxa" w:w="3251"/>
            <w:vAlign w:val="center"/>
            <w:tcMar>
              <w:top w:w="85" w:type="dxa"/>
              <w:start w:w="85" w:type="dxa"/>
              <w:bottom w:w="85" w:type="dxa"/>
              <w:end w:w="85" w:type="dxa"/>
            </w:tcMar>
          </w:tcPr>
          <w:p>
            <w:pPr>
              <w:spacing w:after="0" w:line="247" w:lineRule="auto"/>
            </w:pPr>
            <w:r>
              <w:rPr>
                <w:sz w:val="16"/>
              </w:rPr>
            </w:r>
            <w:r>
              <w:rPr>
                <w:sz w:val="16"/>
              </w:rPr>
              <w:t>Conversion CRM</w:t>
            </w:r>
          </w:p>
        </w:tc>
        <w:tc>
          <w:tcPr>
            <w:tcW w:type="dxa" w:w="3251"/>
            <w:vAlign w:val="center"/>
            <w:tcMar>
              <w:top w:w="85" w:type="dxa"/>
              <w:start w:w="85" w:type="dxa"/>
              <w:bottom w:w="85" w:type="dxa"/>
              <w:end w:w="85" w:type="dxa"/>
            </w:tcMar>
          </w:tcPr>
          <w:p>
            <w:pPr>
              <w:spacing w:after="0" w:line="247" w:lineRule="auto"/>
            </w:pPr>
            <w:r>
              <w:rPr>
                <w:sz w:val="16"/>
              </w:rPr>
            </w:r>
            <w:r>
              <w:rPr>
                <w:sz w:val="16"/>
              </w:rPr>
              <w:t>GA4-conversie-event of geschatte omzet</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Bezoekers, sessies, events, verkeerskanaal</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GA4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Aantal echte leadaanvragen in CRM</w:t>
            </w:r>
          </w:p>
        </w:tc>
      </w:tr>
      <w:tr>
        <w:tc>
          <w:tcPr>
            <w:tcW w:type="dxa" w:w="3251"/>
            <w:vAlign w:val="center"/>
            <w:tcMar>
              <w:top w:w="85" w:type="dxa"/>
              <w:start w:w="85" w:type="dxa"/>
              <w:bottom w:w="85" w:type="dxa"/>
              <w:end w:w="85" w:type="dxa"/>
            </w:tcMar>
          </w:tcPr>
          <w:p>
            <w:pPr>
              <w:spacing w:after="0" w:line="247" w:lineRule="auto"/>
            </w:pPr>
            <w:r>
              <w:rPr>
                <w:sz w:val="16"/>
              </w:rPr>
            </w:r>
            <w:r>
              <w:rPr>
                <w:sz w:val="16"/>
              </w:rPr>
              <w:t>Zoekopdrachten, klikken, CTR, positie</w:t>
            </w:r>
          </w:p>
        </w:tc>
        <w:tc>
          <w:tcPr>
            <w:tcW w:type="dxa" w:w="3251"/>
            <w:vAlign w:val="center"/>
            <w:tcMar>
              <w:top w:w="85" w:type="dxa"/>
              <w:start w:w="85" w:type="dxa"/>
              <w:bottom w:w="85" w:type="dxa"/>
              <w:end w:w="85" w:type="dxa"/>
            </w:tcMar>
          </w:tcPr>
          <w:p>
            <w:pPr>
              <w:spacing w:after="0" w:line="247" w:lineRule="auto"/>
            </w:pPr>
            <w:r>
              <w:rPr>
                <w:sz w:val="16"/>
              </w:rPr>
            </w:r>
            <w:r>
              <w:rPr>
                <w:sz w:val="16"/>
              </w:rPr>
              <w:t>Search Console</w:t>
            </w:r>
          </w:p>
        </w:tc>
        <w:tc>
          <w:tcPr>
            <w:tcW w:type="dxa" w:w="3251"/>
            <w:vAlign w:val="center"/>
            <w:tcMar>
              <w:top w:w="85" w:type="dxa"/>
              <w:start w:w="85" w:type="dxa"/>
              <w:bottom w:w="85" w:type="dxa"/>
              <w:end w:w="85" w:type="dxa"/>
            </w:tcMar>
          </w:tcPr>
          <w:p>
            <w:pPr>
              <w:spacing w:after="0" w:line="247" w:lineRule="auto"/>
            </w:pPr>
            <w:r>
              <w:rPr>
                <w:sz w:val="16"/>
              </w:rPr>
            </w:r>
            <w:r>
              <w:rPr>
                <w:sz w:val="16"/>
              </w:rPr>
              <w:t>Totale marktvraag of exact aantal klanten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Scroll/rage/dead clicks, opnamelinks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Microsoft Clarity</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Bewijs voor motief of identiteit van bezoeker</w:t>
            </w:r>
          </w:p>
        </w:tc>
      </w:tr>
      <w:tr>
        <w:tc>
          <w:tcPr>
            <w:tcW w:type="dxa" w:w="3251"/>
            <w:vAlign w:val="center"/>
            <w:tcMar>
              <w:top w:w="85" w:type="dxa"/>
              <w:start w:w="85" w:type="dxa"/>
              <w:bottom w:w="85" w:type="dxa"/>
              <w:end w:w="85" w:type="dxa"/>
            </w:tcMar>
          </w:tcPr>
          <w:p>
            <w:pPr>
              <w:spacing w:after="0" w:line="247" w:lineRule="auto"/>
            </w:pPr>
            <w:r>
              <w:rPr>
                <w:sz w:val="16"/>
              </w:rPr>
            </w:r>
            <w:r>
              <w:rPr>
                <w:sz w:val="16"/>
              </w:rPr>
              <w:t>Zoekvolume, concurrentie, SERP, AI-vermeldingssample</w:t>
            </w:r>
          </w:p>
        </w:tc>
        <w:tc>
          <w:tcPr>
            <w:tcW w:type="dxa" w:w="3251"/>
            <w:vAlign w:val="center"/>
            <w:tcMar>
              <w:top w:w="85" w:type="dxa"/>
              <w:start w:w="85" w:type="dxa"/>
              <w:bottom w:w="85" w:type="dxa"/>
              <w:end w:w="85" w:type="dxa"/>
            </w:tcMar>
          </w:tcPr>
          <w:p>
            <w:pPr>
              <w:spacing w:after="0" w:line="247" w:lineRule="auto"/>
            </w:pPr>
            <w:r>
              <w:rPr>
                <w:sz w:val="16"/>
              </w:rPr>
            </w:r>
            <w:r>
              <w:rPr>
                <w:sz w:val="16"/>
              </w:rPr>
              <w:t>DataForSEO</w:t>
            </w:r>
          </w:p>
        </w:tc>
        <w:tc>
          <w:tcPr>
            <w:tcW w:type="dxa" w:w="3251"/>
            <w:vAlign w:val="center"/>
            <w:tcMar>
              <w:top w:w="85" w:type="dxa"/>
              <w:start w:w="85" w:type="dxa"/>
              <w:bottom w:w="85" w:type="dxa"/>
              <w:end w:w="85" w:type="dxa"/>
            </w:tcMar>
          </w:tcPr>
          <w:p>
            <w:pPr>
              <w:spacing w:after="0" w:line="247" w:lineRule="auto"/>
            </w:pPr>
            <w:r>
              <w:rPr>
                <w:sz w:val="16"/>
              </w:rPr>
            </w:r>
            <w:r>
              <w:rPr>
                <w:sz w:val="16"/>
              </w:rPr>
              <w:t>Werkelijk bezoek of universele LLM-zichtbaarheid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AI Assistant-referrals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GA4 voor zover gedetecteerd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Alle GEO-vermeldingen; Google AI Overviews vallen vaak binnen Organic Search</w:t>
            </w:r>
          </w:p>
        </w:tc>
      </w:tr>
    </w:tbl>
    <w:p>
      <w:pPr>
        <w:spacing w:after="0"/>
      </w:pPr>
    </w:p>
    <w:p>
      <w:r>
        <w:rPr>
          <w:b/>
        </w:rPr>
        <w:t>Klantinterface:</w:t>
      </w:r>
      <w:r>
        <w:t xml:space="preserve"> Websiteprestaties toont gedrags- en vindbaarheidsdata; Resultaten toont CRM-omzet en salesfunnel. Het overzicht toont compacte samenvattingen zonder dubbeltelling.</w:t>
      </w:r>
    </w:p>
    <w:p>
      <w:r>
        <w:rPr>
          <w:b/>
        </w:rPr>
        <w:t>Westend-interface:</w:t>
      </w:r>
      <w:r>
        <w:t xml:space="preserve"> Website Intelligence is een tenantgericht analysewerkblad. Filters: klant, datum, kanaal, device, locatie en bron — alleen wanneer daadwerkelijk door de connector geleverd. GA4-demografie (leeftijd/gender) alleen geaggregeerd, bij onvoldoende dekking </w:t>
      </w:r>
      <w:r>
        <w:rPr>
          <w:rFonts w:ascii="Consolas" w:hAnsi="Consolas"/>
          <w:sz w:val="16"/>
        </w:rPr>
        <w:t>niet beschikbaar</w:t>
      </w:r>
      <w:r>
        <w:t>. Clarity-opnames openen via oorspronkelijke beveiligde omgeving. B2B-bedrijfsherkenning blijft P2 en vraagt afzonderlijke leveranciers- en privacybeoordeling.</w:t>
      </w:r>
    </w:p>
    <w:p>
      <w:r>
        <w:rPr>
          <w:b/>
        </w:rPr>
        <w:t>Maandadvies:</w:t>
      </w:r>
      <w:r>
        <w:t xml:space="preserve"> detecteer signalen → stel hypotheses → onderbouw met bron/verificatie → prioriteer → </w:t>
      </w:r>
      <w:r>
        <w:rPr>
          <w:b/>
        </w:rPr>
        <w:t>Westend-review</w:t>
      </w:r>
      <w:r>
        <w:t xml:space="preserve"> → toon aanbeveling met actie </w:t>
      </w:r>
      <w:r>
        <w:rPr>
          <w:rFonts w:ascii="Consolas" w:hAnsi="Consolas"/>
          <w:sz w:val="16"/>
        </w:rPr>
        <w:t>Wijziging aanvragen</w:t>
      </w:r>
      <w:r>
        <w:t>. Geen automatisch artikel, metatitel of code publiceren in het Basisabonnement. Kosten DataForSEO per tenant zijn intern zichtbaar; querybudget en caching voorkomen onverwachte kosten.</w:t>
      </w:r>
    </w:p>
    <w:p/>
    <w:p>
      <w:pPr>
        <w:pStyle w:val="Title"/>
      </w:pPr>
      <w:r>
        <w:t>6. Ontbrekende, foutieve en bijzondere schermtoestanden</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Gebeurtenis</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Klant ziet</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Westend ziet</w:t>
            </w:r>
          </w:p>
        </w:tc>
      </w:tr>
      <w:tr>
        <w:tc>
          <w:tcPr>
            <w:tcW w:type="dxa" w:w="3251"/>
            <w:vAlign w:val="center"/>
            <w:tcMar>
              <w:top w:w="85" w:type="dxa"/>
              <w:start w:w="85" w:type="dxa"/>
              <w:bottom w:w="85" w:type="dxa"/>
              <w:end w:w="85" w:type="dxa"/>
            </w:tcMar>
          </w:tcPr>
          <w:p>
            <w:pPr>
              <w:spacing w:after="0" w:line="247" w:lineRule="auto"/>
            </w:pPr>
            <w:r>
              <w:rPr>
                <w:sz w:val="16"/>
              </w:rPr>
            </w:r>
            <w:r>
              <w:rPr>
                <w:sz w:val="16"/>
              </w:rPr>
              <w:t>Nieuwe klant, geen leads</w:t>
            </w:r>
          </w:p>
        </w:tc>
        <w:tc>
          <w:tcPr>
            <w:tcW w:type="dxa" w:w="3251"/>
            <w:vAlign w:val="center"/>
            <w:tcMar>
              <w:top w:w="85" w:type="dxa"/>
              <w:start w:w="85" w:type="dxa"/>
              <w:bottom w:w="85" w:type="dxa"/>
              <w:end w:w="85" w:type="dxa"/>
            </w:tcMar>
          </w:tcPr>
          <w:p>
            <w:pPr>
              <w:spacing w:after="0" w:line="247" w:lineRule="auto"/>
            </w:pPr>
            <w:r>
              <w:rPr>
                <w:sz w:val="16"/>
              </w:rPr>
            </w:r>
            <w:r>
              <w:rPr>
                <w:sz w:val="16"/>
              </w:rPr>
              <w:t>'Je website is klaar voor aanvragen' + uitleg volgende stap; geen nepcijfers</w:t>
            </w:r>
          </w:p>
        </w:tc>
        <w:tc>
          <w:tcPr>
            <w:tcW w:type="dxa" w:w="3251"/>
            <w:vAlign w:val="center"/>
            <w:tcMar>
              <w:top w:w="85" w:type="dxa"/>
              <w:start w:w="85" w:type="dxa"/>
              <w:bottom w:w="85" w:type="dxa"/>
              <w:end w:w="85" w:type="dxa"/>
            </w:tcMar>
          </w:tcPr>
          <w:p>
            <w:pPr>
              <w:spacing w:after="0" w:line="247" w:lineRule="auto"/>
            </w:pPr>
            <w:r>
              <w:rPr>
                <w:sz w:val="16"/>
              </w:rPr>
            </w:r>
            <w:r>
              <w:rPr>
                <w:sz w:val="16"/>
              </w:rPr>
              <w:t>Contract, onboarding-/live-/formulierstatus</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AI-eerste reply faalt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'Aanvraag ontvangen, handmatige opvolging nodig' + taak</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Providerfout, correlation ID, kill switch en herstelpad</w:t>
            </w:r>
          </w:p>
        </w:tc>
      </w:tr>
      <w:tr>
        <w:tc>
          <w:tcPr>
            <w:tcW w:type="dxa" w:w="3251"/>
            <w:vAlign w:val="center"/>
            <w:tcMar>
              <w:top w:w="85" w:type="dxa"/>
              <w:start w:w="85" w:type="dxa"/>
              <w:bottom w:w="85" w:type="dxa"/>
              <w:end w:w="85" w:type="dxa"/>
            </w:tcMar>
          </w:tcPr>
          <w:p>
            <w:pPr>
              <w:spacing w:after="0" w:line="247" w:lineRule="auto"/>
            </w:pPr>
            <w:r>
              <w:rPr>
                <w:sz w:val="16"/>
              </w:rPr>
            </w:r>
            <w:r>
              <w:rPr>
                <w:sz w:val="16"/>
              </w:rPr>
              <w:t>GA4 niet gekoppeld</w:t>
            </w:r>
          </w:p>
        </w:tc>
        <w:tc>
          <w:tcPr>
            <w:tcW w:type="dxa" w:w="3251"/>
            <w:vAlign w:val="center"/>
            <w:tcMar>
              <w:top w:w="85" w:type="dxa"/>
              <w:start w:w="85" w:type="dxa"/>
              <w:bottom w:w="85" w:type="dxa"/>
              <w:end w:w="85" w:type="dxa"/>
            </w:tcMar>
          </w:tcPr>
          <w:p>
            <w:pPr>
              <w:spacing w:after="0" w:line="247" w:lineRule="auto"/>
            </w:pPr>
            <w:r>
              <w:rPr>
                <w:sz w:val="16"/>
              </w:rPr>
            </w:r>
            <w:r>
              <w:rPr>
                <w:sz w:val="16"/>
              </w:rPr>
              <w:t>'Nog geen meetgegevens gekoppeld'</w:t>
            </w:r>
          </w:p>
        </w:tc>
        <w:tc>
          <w:tcPr>
            <w:tcW w:type="dxa" w:w="3251"/>
            <w:vAlign w:val="center"/>
            <w:tcMar>
              <w:top w:w="85" w:type="dxa"/>
              <w:start w:w="85" w:type="dxa"/>
              <w:bottom w:w="85" w:type="dxa"/>
              <w:end w:w="85" w:type="dxa"/>
            </w:tcMar>
          </w:tcPr>
          <w:p>
            <w:pPr>
              <w:spacing w:after="0" w:line="247" w:lineRule="auto"/>
            </w:pPr>
            <w:r>
              <w:rPr>
                <w:sz w:val="16"/>
              </w:rPr>
            </w:r>
            <w:r>
              <w:rPr>
                <w:sz w:val="16"/>
              </w:rPr>
              <w:t>Koppeling nodig, juiste client/toegang, syncstatus</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GSC vertraagd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Laatste update + 'gegevens lopen achter'</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Databron-freshness, retry en foutreden</w:t>
            </w:r>
          </w:p>
        </w:tc>
      </w:tr>
      <w:tr>
        <w:tc>
          <w:tcPr>
            <w:tcW w:type="dxa" w:w="3251"/>
            <w:vAlign w:val="center"/>
            <w:tcMar>
              <w:top w:w="85" w:type="dxa"/>
              <w:start w:w="85" w:type="dxa"/>
              <w:bottom w:w="85" w:type="dxa"/>
              <w:end w:w="85" w:type="dxa"/>
            </w:tcMar>
          </w:tcPr>
          <w:p>
            <w:pPr>
              <w:spacing w:after="0" w:line="247" w:lineRule="auto"/>
            </w:pPr>
            <w:r>
              <w:rPr>
                <w:sz w:val="16"/>
              </w:rPr>
            </w:r>
            <w:r>
              <w:rPr>
                <w:sz w:val="16"/>
              </w:rPr>
              <w:t>Clarity heeft geen sessies</w:t>
            </w:r>
          </w:p>
        </w:tc>
        <w:tc>
          <w:tcPr>
            <w:tcW w:type="dxa" w:w="3251"/>
            <w:vAlign w:val="center"/>
            <w:tcMar>
              <w:top w:w="85" w:type="dxa"/>
              <w:start w:w="85" w:type="dxa"/>
              <w:bottom w:w="85" w:type="dxa"/>
              <w:end w:w="85" w:type="dxa"/>
            </w:tcMar>
          </w:tcPr>
          <w:p>
            <w:pPr>
              <w:spacing w:after="0" w:line="247" w:lineRule="auto"/>
            </w:pPr>
            <w:r>
              <w:rPr>
                <w:sz w:val="16"/>
              </w:rPr>
            </w:r>
            <w:r>
              <w:rPr>
                <w:sz w:val="16"/>
              </w:rPr>
              <w:t>'Geen opnames beschikbaar in deze periode'</w:t>
            </w:r>
          </w:p>
        </w:tc>
        <w:tc>
          <w:tcPr>
            <w:tcW w:type="dxa" w:w="3251"/>
            <w:vAlign w:val="center"/>
            <w:tcMar>
              <w:top w:w="85" w:type="dxa"/>
              <w:start w:w="85" w:type="dxa"/>
              <w:bottom w:w="85" w:type="dxa"/>
              <w:end w:w="85" w:type="dxa"/>
            </w:tcMar>
          </w:tcPr>
          <w:p>
            <w:pPr>
              <w:spacing w:after="0" w:line="247" w:lineRule="auto"/>
            </w:pPr>
            <w:r>
              <w:rPr>
                <w:sz w:val="16"/>
              </w:rPr>
            </w:r>
            <w:r>
              <w:rPr>
                <w:sz w:val="16"/>
              </w:rPr>
              <w:t>Verzameling/consent/status; geen nepopnames</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DataForSEO-budget bereikt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Advies op eerdere data, met meetdatum</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Budgetmelding, optioneel pauzeerbare marktqueries</w:t>
            </w:r>
          </w:p>
        </w:tc>
      </w:tr>
      <w:tr>
        <w:tc>
          <w:tcPr>
            <w:tcW w:type="dxa" w:w="3251"/>
            <w:vAlign w:val="center"/>
            <w:tcMar>
              <w:top w:w="85" w:type="dxa"/>
              <w:start w:w="85" w:type="dxa"/>
              <w:bottom w:w="85" w:type="dxa"/>
              <w:end w:w="85" w:type="dxa"/>
            </w:tcMar>
          </w:tcPr>
          <w:p>
            <w:pPr>
              <w:spacing w:after="0" w:line="247" w:lineRule="auto"/>
            </w:pPr>
            <w:r>
              <w:rPr>
                <w:sz w:val="16"/>
              </w:rPr>
            </w:r>
            <w:r>
              <w:rPr>
                <w:sz w:val="16"/>
              </w:rPr>
              <w:t>Onvolledige strategische intake</w:t>
            </w:r>
          </w:p>
        </w:tc>
        <w:tc>
          <w:tcPr>
            <w:tcW w:type="dxa" w:w="3251"/>
            <w:vAlign w:val="center"/>
            <w:tcMar>
              <w:top w:w="85" w:type="dxa"/>
              <w:start w:w="85" w:type="dxa"/>
              <w:bottom w:w="85" w:type="dxa"/>
              <w:end w:w="85" w:type="dxa"/>
            </w:tcMar>
          </w:tcPr>
          <w:p>
            <w:pPr>
              <w:spacing w:after="0" w:line="247" w:lineRule="auto"/>
            </w:pPr>
            <w:r>
              <w:rPr>
                <w:sz w:val="16"/>
              </w:rPr>
            </w:r>
            <w:r>
              <w:rPr>
                <w:sz w:val="16"/>
              </w:rPr>
              <w:t>Gerichte vraag, concept blijft bewaard</w:t>
            </w:r>
          </w:p>
        </w:tc>
        <w:tc>
          <w:tcPr>
            <w:tcW w:type="dxa" w:w="3251"/>
            <w:vAlign w:val="center"/>
            <w:tcMar>
              <w:top w:w="85" w:type="dxa"/>
              <w:start w:w="85" w:type="dxa"/>
              <w:bottom w:w="85" w:type="dxa"/>
              <w:end w:w="85" w:type="dxa"/>
            </w:tcMar>
          </w:tcPr>
          <w:p>
            <w:pPr>
              <w:spacing w:after="0" w:line="247" w:lineRule="auto"/>
            </w:pPr>
            <w:r>
              <w:rPr>
                <w:sz w:val="16"/>
              </w:rPr>
            </w:r>
            <w:r>
              <w:rPr>
                <w:sz w:val="16"/>
              </w:rPr>
              <w:t>Missing-field-wachtrij, geen Gate A</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Nieuwe branding of fotoshoot gevraagd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'Offerte volgt' zonder automatische opdracht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Meerwerkstatus/goedkeuring, geen inzet vóór akkoord</w:t>
            </w:r>
          </w:p>
        </w:tc>
      </w:tr>
      <w:tr>
        <w:tc>
          <w:tcPr>
            <w:tcW w:type="dxa" w:w="3251"/>
            <w:vAlign w:val="center"/>
            <w:tcMar>
              <w:top w:w="85" w:type="dxa"/>
              <w:start w:w="85" w:type="dxa"/>
              <w:bottom w:w="85" w:type="dxa"/>
              <w:end w:w="85" w:type="dxa"/>
            </w:tcMar>
          </w:tcPr>
          <w:p>
            <w:pPr>
              <w:spacing w:after="0" w:line="247" w:lineRule="auto"/>
            </w:pPr>
            <w:r>
              <w:rPr>
                <w:sz w:val="16"/>
              </w:rPr>
            </w:r>
            <w:r>
              <w:rPr>
                <w:sz w:val="16"/>
              </w:rPr>
              <w:t>Formulier UI gezond, backend stuk</w:t>
            </w:r>
          </w:p>
        </w:tc>
        <w:tc>
          <w:tcPr>
            <w:tcW w:type="dxa" w:w="3251"/>
            <w:vAlign w:val="center"/>
            <w:tcMar>
              <w:top w:w="85" w:type="dxa"/>
              <w:start w:w="85" w:type="dxa"/>
              <w:bottom w:w="85" w:type="dxa"/>
              <w:end w:w="85" w:type="dxa"/>
            </w:tcMar>
          </w:tcPr>
          <w:p>
            <w:pPr>
              <w:spacing w:after="0" w:line="247" w:lineRule="auto"/>
            </w:pPr>
            <w:r>
              <w:rPr>
                <w:sz w:val="16"/>
              </w:rPr>
            </w:r>
            <w:r>
              <w:rPr>
                <w:sz w:val="16"/>
              </w:rPr>
              <w:t>Korte melding met handelingsadvies, niet 'alles werkt'</w:t>
            </w:r>
          </w:p>
        </w:tc>
        <w:tc>
          <w:tcPr>
            <w:tcW w:type="dxa" w:w="3251"/>
            <w:vAlign w:val="center"/>
            <w:tcMar>
              <w:top w:w="85" w:type="dxa"/>
              <w:start w:w="85" w:type="dxa"/>
              <w:bottom w:w="85" w:type="dxa"/>
              <w:end w:w="85" w:type="dxa"/>
            </w:tcMar>
          </w:tcPr>
          <w:p>
            <w:pPr>
              <w:spacing w:after="0" w:line="247" w:lineRule="auto"/>
            </w:pPr>
            <w:r>
              <w:rPr>
                <w:sz w:val="16"/>
              </w:rPr>
            </w:r>
            <w:r>
              <w:rPr>
                <w:sz w:val="16"/>
              </w:rPr>
              <w:t>Frontend groen; volledige ketentest rood of onbekend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toestemming voor analyse</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niet-toegestane analytics</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Consent-status, uitgesloten tracking en datadekking</w:t>
            </w:r>
          </w:p>
        </w:tc>
      </w:tr>
    </w:tbl>
    <w:p>
      <w:pPr>
        <w:spacing w:after="0"/>
      </w:pPr>
    </w:p>
    <w:p/>
    <w:p>
      <w:pPr>
        <w:pStyle w:val="Title"/>
      </w:pPr>
      <w:r>
        <w:t>7. Designsystem v1.0 — goedgekeurde visuele richting</w:t>
      </w:r>
    </w:p>
    <w:p>
      <w:r>
        <w:rPr>
          <w:b/>
        </w:rPr>
        <w:t>Richting vastgesteld:</w:t>
      </w:r>
      <w:r>
        <w:t xml:space="preserve"> premium, rustige SaaS-uitstraling: lichte achtergrond, duidelijke hiërarchie, luchtige cards, sterke typografie, compacte bruikbare tabellen en professionele grafieken. </w:t>
      </w:r>
      <w:r>
        <w:rPr>
          <w:b/>
        </w:rPr>
        <w:t>De concrete hexwaarden hieronder zijn een nieuw voorstel</w:t>
      </w:r>
      <w:r>
        <w:t>, geen reeds vastgesteld merkdesign.</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Token</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Conceptwaarde</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Toepassing</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--surface-page</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#F6F8FC</w:t>
            </w:r>
          </w:p>
        </w:tc>
        <w:tc>
          <w:tcPr>
            <w:tcW w:type="dxa" w:w="3251"/>
            <w:vAlign w:val="center"/>
            <w:tcMar>
              <w:top w:w="85" w:type="dxa"/>
              <w:start w:w="85" w:type="dxa"/>
              <w:bottom w:w="85" w:type="dxa"/>
              <w:end w:w="85" w:type="dxa"/>
            </w:tcMar>
          </w:tcPr>
          <w:p>
            <w:pPr>
              <w:spacing w:after="0" w:line="247" w:lineRule="auto"/>
            </w:pPr>
            <w:r>
              <w:rPr>
                <w:sz w:val="16"/>
              </w:rPr>
            </w:r>
            <w:r>
              <w:rPr>
                <w:sz w:val="16"/>
              </w:rPr>
              <w:t>Rustige paginabasis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--surface-card</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#FFFFFF</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Cards en dialogen</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--text-primary</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#142033</w:t>
            </w:r>
          </w:p>
        </w:tc>
        <w:tc>
          <w:tcPr>
            <w:tcW w:type="dxa" w:w="3251"/>
            <w:vAlign w:val="center"/>
            <w:tcMar>
              <w:top w:w="85" w:type="dxa"/>
              <w:start w:w="85" w:type="dxa"/>
              <w:bottom w:w="85" w:type="dxa"/>
              <w:end w:w="85" w:type="dxa"/>
            </w:tcMar>
          </w:tcPr>
          <w:p>
            <w:pPr>
              <w:spacing w:after="0" w:line="247" w:lineRule="auto"/>
            </w:pPr>
            <w:r>
              <w:rPr>
                <w:sz w:val="16"/>
              </w:rPr>
            </w:r>
            <w:r>
              <w:rPr>
                <w:sz w:val="16"/>
              </w:rPr>
              <w:t>Headings, kerncijfers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--text-muted</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#64748B</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Labels, metadata</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--brand-primary</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#234CD5</w:t>
            </w:r>
          </w:p>
        </w:tc>
        <w:tc>
          <w:tcPr>
            <w:tcW w:type="dxa" w:w="3251"/>
            <w:vAlign w:val="center"/>
            <w:tcMar>
              <w:top w:w="85" w:type="dxa"/>
              <w:start w:w="85" w:type="dxa"/>
              <w:bottom w:w="85" w:type="dxa"/>
              <w:end w:w="85" w:type="dxa"/>
            </w:tcMar>
          </w:tcPr>
          <w:p>
            <w:pPr>
              <w:spacing w:after="0" w:line="247" w:lineRule="auto"/>
            </w:pPr>
            <w:r>
              <w:rPr>
                <w:sz w:val="16"/>
              </w:rPr>
            </w:r>
            <w:r>
              <w:rPr>
                <w:sz w:val="16"/>
              </w:rPr>
              <w:t>Primaire CTA, selectie, focus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--brand-soft</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#EAF0FF</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Zachte selectieachtergrond</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--border</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#E4E9F1</w:t>
            </w:r>
          </w:p>
        </w:tc>
        <w:tc>
          <w:tcPr>
            <w:tcW w:type="dxa" w:w="3251"/>
            <w:vAlign w:val="center"/>
            <w:tcMar>
              <w:top w:w="85" w:type="dxa"/>
              <w:start w:w="85" w:type="dxa"/>
              <w:bottom w:w="85" w:type="dxa"/>
              <w:end w:w="85" w:type="dxa"/>
            </w:tcMar>
          </w:tcPr>
          <w:p>
            <w:pPr>
              <w:spacing w:after="0" w:line="247" w:lineRule="auto"/>
            </w:pPr>
            <w:r>
              <w:rPr>
                <w:sz w:val="16"/>
              </w:rPr>
            </w:r>
            <w:r>
              <w:rPr>
                <w:sz w:val="16"/>
              </w:rPr>
              <w:t>Zachte scheiding</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--success</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#087F5B</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Geslaagd, *met* statuslabel</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--warning</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#A36506</w:t>
            </w:r>
          </w:p>
        </w:tc>
        <w:tc>
          <w:tcPr>
            <w:tcW w:type="dxa" w:w="3251"/>
            <w:vAlign w:val="center"/>
            <w:tcMar>
              <w:top w:w="85" w:type="dxa"/>
              <w:start w:w="85" w:type="dxa"/>
              <w:bottom w:w="85" w:type="dxa"/>
              <w:end w:w="85" w:type="dxa"/>
            </w:tcMar>
          </w:tcPr>
          <w:p>
            <w:pPr>
              <w:spacing w:after="0" w:line="247" w:lineRule="auto"/>
            </w:pPr>
            <w:r>
              <w:rPr>
                <w:sz w:val="16"/>
              </w:rPr>
            </w:r>
            <w:r>
              <w:rPr>
                <w:sz w:val="16"/>
              </w:rPr>
              <w:t>Nader controleren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--danger</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#B42332</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Incident/actie mislukt</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--radius-card</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16px</w:t>
            </w:r>
          </w:p>
        </w:tc>
        <w:tc>
          <w:tcPr>
            <w:tcW w:type="dxa" w:w="3251"/>
            <w:vAlign w:val="center"/>
            <w:tcMar>
              <w:top w:w="85" w:type="dxa"/>
              <w:start w:w="85" w:type="dxa"/>
              <w:bottom w:w="85" w:type="dxa"/>
              <w:end w:w="85" w:type="dxa"/>
            </w:tcMar>
          </w:tcPr>
          <w:p>
            <w:pPr>
              <w:spacing w:after="0" w:line="247" w:lineRule="auto"/>
            </w:pPr>
            <w:r>
              <w:rPr>
                <w:sz w:val="16"/>
              </w:rPr>
            </w:r>
            <w:r>
              <w:rPr>
                <w:sz w:val="16"/>
              </w:rPr>
              <w:t>Moderne maar zakelijke cards</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--radius-control</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10px</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Inputs, knoppen</w:t>
            </w:r>
          </w:p>
        </w:tc>
      </w:tr>
      <w:tr>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--space-unit</w:t>
            </w:r>
          </w:p>
        </w:tc>
        <w:tc>
          <w:tcPr>
            <w:tcW w:type="dxa" w:w="3251"/>
            <w:vAlign w:val="center"/>
            <w:tcMar>
              <w:top w:w="85" w:type="dxa"/>
              <w:start w:w="85" w:type="dxa"/>
              <w:bottom w:w="85" w:type="dxa"/>
              <w:end w:w="85" w:type="dxa"/>
            </w:tcMar>
          </w:tcPr>
          <w:p>
            <w:pPr>
              <w:spacing w:after="0" w:line="247" w:lineRule="auto"/>
            </w:pPr>
            <w:r>
              <w:rPr>
                <w:sz w:val="16"/>
              </w:rPr>
            </w:r>
            <w:r>
              <w:rPr>
                <w:rFonts w:ascii="Consolas" w:hAnsi="Consolas"/>
                <w:sz w:val="16"/>
              </w:rPr>
              <w:t>8px</w:t>
            </w:r>
          </w:p>
        </w:tc>
        <w:tc>
          <w:tcPr>
            <w:tcW w:type="dxa" w:w="3251"/>
            <w:vAlign w:val="center"/>
            <w:tcMar>
              <w:top w:w="85" w:type="dxa"/>
              <w:start w:w="85" w:type="dxa"/>
              <w:bottom w:w="85" w:type="dxa"/>
              <w:end w:w="85" w:type="dxa"/>
            </w:tcMar>
          </w:tcPr>
          <w:p>
            <w:pPr>
              <w:spacing w:after="0" w:line="247" w:lineRule="auto"/>
            </w:pPr>
            <w:r>
              <w:rPr>
                <w:sz w:val="16"/>
              </w:rPr>
            </w:r>
            <w:r>
              <w:rPr>
                <w:sz w:val="16"/>
              </w:rPr>
              <w:t>Ritmische spacing (8/16/24/32)</w:t>
            </w:r>
          </w:p>
        </w:tc>
      </w:tr>
      <w:tr>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--content-max</w:t>
            </w:r>
          </w:p>
        </w:tc>
        <w:tc>
          <w:tcPr>
            <w:tcW w:type="dxa" w:w="3251"/>
            <w:vAlign w:val="center"/>
            <w:tcMar>
              <w:top w:w="85" w:type="dxa"/>
              <w:start w:w="85" w:type="dxa"/>
              <w:bottom w:w="85" w:type="dxa"/>
              <w:end w:w="85" w:type="dxa"/>
            </w:tcMar>
            <w:shd w:fill="F4F7FC"/>
          </w:tcPr>
          <w:p>
            <w:pPr>
              <w:spacing w:after="0" w:line="247" w:lineRule="auto"/>
            </w:pPr>
            <w:r>
              <w:rPr>
                <w:sz w:val="16"/>
              </w:rPr>
            </w:r>
            <w:r>
              <w:rPr>
                <w:rFonts w:ascii="Consolas" w:hAnsi="Consolas"/>
                <w:sz w:val="16"/>
              </w:rPr>
              <w:t>1440px</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Inhoudsbreedte desktop</w:t>
            </w:r>
          </w:p>
        </w:tc>
      </w:tr>
    </w:tbl>
    <w:p>
      <w:pPr>
        <w:spacing w:after="0"/>
      </w:pPr>
    </w:p>
    <w:p>
      <w:r>
        <w:rPr>
          <w:b/>
        </w:rPr>
        <w:t>Typografie:</w:t>
      </w:r>
      <w:r>
        <w:t xml:space="preserve"> voorlopig </w:t>
      </w:r>
      <w:r>
        <w:rPr>
          <w:rFonts w:ascii="Consolas" w:hAnsi="Consolas"/>
          <w:sz w:val="16"/>
        </w:rPr>
        <w:t>Inter</w:t>
      </w:r>
      <w:r>
        <w:t xml:space="preserve"> of vergelijkbare goed leesbare sans-serif voor UI; niet automatisch de marketingwebsites hun merkfont opleggen. Heading 24–32px; body 14–16px; label 12–13px; cijfers met tabular numerals. Gebruik maximaal één prominente primary CTA per formuliercontext.</w:t>
      </w:r>
    </w:p>
    <w:p>
      <w:r>
        <w:rPr>
          <w:b/>
        </w:rPr>
        <w:t>Bibliotheek van dashboard-UI-componenten:</w:t>
      </w:r>
      <w:r>
        <w:t xml:space="preserve"> App Shell, Sidebar, Topbar, Breadcrumbs, Tenant Switcher, KPI Card, Status Indicator, Action Queue Item, Filter Bar, Data Table, Mobile Record Card, Timeline, Tabs, Stepper, Form Field, File Upload, Evidence Tag, Approval Gate, Confirm Dialog, Empty State, Error State, Chart Shell en Source/Freshness Label. Elk component heeft focus-, loading-, empty- en errorvarianten waar relevant.</w:t>
      </w:r>
    </w:p>
    <w:p>
      <w:r>
        <w:rPr>
          <w:b/>
        </w:rPr>
        <w:t>Responsieve richtlijn (concept):</w:t>
      </w:r>
      <w:r>
        <w:t xml:space="preserve"> mobiel &lt;768px (drawer + één kolom); tablet 768–1199px (compactere navigatie/twee cards); desktop ≥1200px (vaste sidebar, drie of vier kaarten indien ruimte). Definitieve breakpoints na wireframevalidatie en toegankelijkheidstest; geen harde frameworkspecificatie.</w:t>
      </w:r>
    </w:p>
    <w:p>
      <w:r>
        <w:rPr>
          <w:b/>
        </w:rPr>
        <w:t>Website-component library ≠ dashboard component library.</w:t>
      </w:r>
      <w:r>
        <w:t xml:space="preserve"> De bestaande Westend-bibliotheek voor klantwebsites blijft de basis van AI-websiteproductie. De hier beschreven UI-kit geldt voor het Conversion Engine-dashboard. Ze mogen gedeelde tokens/patronen hebben, maar niet automatisch dezelfde componentcode.</w:t>
      </w:r>
    </w:p>
    <w:p/>
    <w:p>
      <w:pPr>
        <w:pStyle w:val="Title"/>
      </w:pPr>
      <w:r>
        <w:t>8. Releasegerichte UX-acceptatie (cross-module)</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ID</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Testscenario</w:t>
            </w:r>
          </w:p>
        </w:tc>
        <w:tc>
          <w:tcPr>
            <w:tcW w:type="dxa" w:w="3251"/>
            <w:vAlign w:val="center"/>
            <w:tcMar>
              <w:top w:w="85" w:type="dxa"/>
              <w:start w:w="85" w:type="dxa"/>
              <w:bottom w:w="85" w:type="dxa"/>
              <w:end w:w="85" w:type="dxa"/>
            </w:tcMar>
            <w:shd w:fill="1C2A40"/>
          </w:tcPr>
          <w:p>
            <w:pPr>
              <w:spacing w:after="0" w:line="247" w:lineRule="auto"/>
            </w:pPr>
            <w:r>
              <w:rPr>
                <w:b/>
                <w:color w:val="FFFFFF"/>
                <w:sz w:val="16"/>
              </w:rPr>
            </w:r>
            <w:r>
              <w:rPr>
                <w:b/>
                <w:color w:val="FFFFFF"/>
                <w:sz w:val="16"/>
              </w:rPr>
              <w:t>Verwacht bewijs</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UX-X01</w:t>
            </w:r>
          </w:p>
        </w:tc>
        <w:tc>
          <w:tcPr>
            <w:tcW w:type="dxa" w:w="3251"/>
            <w:vAlign w:val="center"/>
            <w:tcMar>
              <w:top w:w="85" w:type="dxa"/>
              <w:start w:w="85" w:type="dxa"/>
              <w:bottom w:w="85" w:type="dxa"/>
              <w:end w:w="85" w:type="dxa"/>
            </w:tcMar>
          </w:tcPr>
          <w:p>
            <w:pPr>
              <w:spacing w:after="0" w:line="247" w:lineRule="auto"/>
            </w:pPr>
            <w:r>
              <w:rPr>
                <w:sz w:val="16"/>
              </w:rPr>
            </w:r>
            <w:r>
              <w:rPr>
                <w:sz w:val="16"/>
              </w:rPr>
              <w:t>Prospect ontvangt offerte maar nog geen overeenkomst</w:t>
            </w:r>
          </w:p>
        </w:tc>
        <w:tc>
          <w:tcPr>
            <w:tcW w:type="dxa" w:w="3251"/>
            <w:vAlign w:val="center"/>
            <w:tcMar>
              <w:top w:w="85" w:type="dxa"/>
              <w:start w:w="85" w:type="dxa"/>
              <w:bottom w:w="85" w:type="dxa"/>
              <w:end w:w="85" w:type="dxa"/>
            </w:tcMar>
          </w:tcPr>
          <w:p>
            <w:pPr>
              <w:spacing w:after="0" w:line="247" w:lineRule="auto"/>
            </w:pPr>
            <w:r>
              <w:rPr>
                <w:sz w:val="16"/>
              </w:rPr>
            </w:r>
            <w:r>
              <w:rPr>
                <w:sz w:val="16"/>
              </w:rPr>
              <w:t>Geen onboardingverplichting of account-intake-email</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UX-X02</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Owner start intake op telefoon, hervat op laptop</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Concept inclusief versies hervatbaar; echte server-opslag pas na bevestiging</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UX-X03</w:t>
            </w:r>
          </w:p>
        </w:tc>
        <w:tc>
          <w:tcPr>
            <w:tcW w:type="dxa" w:w="3251"/>
            <w:vAlign w:val="center"/>
            <w:tcMar>
              <w:top w:w="85" w:type="dxa"/>
              <w:start w:w="85" w:type="dxa"/>
              <w:bottom w:w="85" w:type="dxa"/>
              <w:end w:w="85" w:type="dxa"/>
            </w:tcMar>
          </w:tcPr>
          <w:p>
            <w:pPr>
              <w:spacing w:after="0" w:line="247" w:lineRule="auto"/>
            </w:pPr>
            <w:r>
              <w:rPr>
                <w:sz w:val="16"/>
              </w:rPr>
            </w:r>
            <w:r>
              <w:rPr>
                <w:sz w:val="16"/>
              </w:rPr>
              <w:t>39 kernvragen volledig, niet relevante aanvullende velden leeg</w:t>
            </w:r>
          </w:p>
        </w:tc>
        <w:tc>
          <w:tcPr>
            <w:tcW w:type="dxa" w:w="3251"/>
            <w:vAlign w:val="center"/>
            <w:tcMar>
              <w:top w:w="85" w:type="dxa"/>
              <w:start w:w="85" w:type="dxa"/>
              <w:bottom w:w="85" w:type="dxa"/>
              <w:end w:w="85" w:type="dxa"/>
            </w:tcMar>
          </w:tcPr>
          <w:p>
            <w:pPr>
              <w:spacing w:after="0" w:line="247" w:lineRule="auto"/>
            </w:pPr>
            <w:r>
              <w:rPr>
                <w:sz w:val="16"/>
              </w:rPr>
            </w:r>
            <w:r>
              <w:rPr>
                <w:sz w:val="16"/>
              </w:rPr>
              <w:t>Intake kan voor Gate A worden aangeboden; relevante blokkades zichtbaar</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Onbewezen resultaatclaim</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Niet automatisch in copy of livewebsite; reviewstatus getoond</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UX-X05</w:t>
            </w:r>
          </w:p>
        </w:tc>
        <w:tc>
          <w:tcPr>
            <w:tcW w:type="dxa" w:w="3251"/>
            <w:vAlign w:val="center"/>
            <w:tcMar>
              <w:top w:w="85" w:type="dxa"/>
              <w:start w:w="85" w:type="dxa"/>
              <w:bottom w:w="85" w:type="dxa"/>
              <w:end w:w="85" w:type="dxa"/>
            </w:tcMar>
          </w:tcPr>
          <w:p>
            <w:pPr>
              <w:spacing w:after="0" w:line="247" w:lineRule="auto"/>
            </w:pPr>
            <w:r>
              <w:rPr>
                <w:sz w:val="16"/>
              </w:rPr>
            </w:r>
            <w:r>
              <w:rPr>
                <w:sz w:val="16"/>
              </w:rPr>
              <w:t>Strategie gewijzigd na goedkeuring</w:t>
            </w:r>
          </w:p>
        </w:tc>
        <w:tc>
          <w:tcPr>
            <w:tcW w:type="dxa" w:w="3251"/>
            <w:vAlign w:val="center"/>
            <w:tcMar>
              <w:top w:w="85" w:type="dxa"/>
              <w:start w:w="85" w:type="dxa"/>
              <w:bottom w:w="85" w:type="dxa"/>
              <w:end w:w="85" w:type="dxa"/>
            </w:tcMar>
          </w:tcPr>
          <w:p>
            <w:pPr>
              <w:spacing w:after="0" w:line="247" w:lineRule="auto"/>
            </w:pPr>
            <w:r>
              <w:rPr>
                <w:sz w:val="16"/>
              </w:rPr>
            </w:r>
            <w:r>
              <w:rPr>
                <w:sz w:val="16"/>
              </w:rPr>
              <w:t>Afhankelijke goedkeuring gericht herbeoordeeld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UX-X06</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Teamledenwaarde-instelling uit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Toegewezen dealwaarde afgeschermd in UI én API</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UX-X07</w:t>
            </w:r>
          </w:p>
        </w:tc>
        <w:tc>
          <w:tcPr>
            <w:tcW w:type="dxa" w:w="3251"/>
            <w:vAlign w:val="center"/>
            <w:tcMar>
              <w:top w:w="85" w:type="dxa"/>
              <w:start w:w="85" w:type="dxa"/>
              <w:bottom w:w="85" w:type="dxa"/>
              <w:end w:w="85" w:type="dxa"/>
            </w:tcMar>
          </w:tcPr>
          <w:p>
            <w:pPr>
              <w:spacing w:after="0" w:line="247" w:lineRule="auto"/>
            </w:pPr>
            <w:r>
              <w:rPr>
                <w:sz w:val="16"/>
              </w:rPr>
            </w:r>
            <w:r>
              <w:rPr>
                <w:sz w:val="16"/>
              </w:rPr>
              <w:t>Teamledenwaarde-instelling aan</w:t>
            </w:r>
          </w:p>
        </w:tc>
        <w:tc>
          <w:tcPr>
            <w:tcW w:type="dxa" w:w="3251"/>
            <w:vAlign w:val="center"/>
            <w:tcMar>
              <w:top w:w="85" w:type="dxa"/>
              <w:start w:w="85" w:type="dxa"/>
              <w:bottom w:w="85" w:type="dxa"/>
              <w:end w:w="85" w:type="dxa"/>
            </w:tcMar>
          </w:tcPr>
          <w:p>
            <w:pPr>
              <w:spacing w:after="0" w:line="247" w:lineRule="auto"/>
            </w:pPr>
            <w:r>
              <w:rPr>
                <w:sz w:val="16"/>
              </w:rPr>
            </w:r>
            <w:r>
              <w:rPr>
                <w:sz w:val="16"/>
              </w:rPr>
              <w:t>Alleen eigen toegewezen dealwaarde zichtbaar; geen MRR/ontvangsten</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UX-X08</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AI-antwoorden per tenant gepauzeerd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Leadopslag loopt door; menselijke opvolging en status zichtbaar</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UX-X09</w:t>
            </w:r>
          </w:p>
        </w:tc>
        <w:tc>
          <w:tcPr>
            <w:tcW w:type="dxa" w:w="3251"/>
            <w:vAlign w:val="center"/>
            <w:tcMar>
              <w:top w:w="85" w:type="dxa"/>
              <w:start w:w="85" w:type="dxa"/>
              <w:bottom w:w="85" w:type="dxa"/>
              <w:end w:w="85" w:type="dxa"/>
            </w:tcMar>
          </w:tcPr>
          <w:p>
            <w:pPr>
              <w:spacing w:after="0" w:line="247" w:lineRule="auto"/>
            </w:pPr>
            <w:r>
              <w:rPr>
                <w:sz w:val="16"/>
              </w:rPr>
            </w:r>
            <w:r>
              <w:rPr>
                <w:sz w:val="16"/>
              </w:rPr>
              <w:t>30m Playwright frontendcheck</w:t>
            </w:r>
          </w:p>
        </w:tc>
        <w:tc>
          <w:tcPr>
            <w:tcW w:type="dxa" w:w="3251"/>
            <w:vAlign w:val="center"/>
            <w:tcMar>
              <w:top w:w="85" w:type="dxa"/>
              <w:start w:w="85" w:type="dxa"/>
              <w:bottom w:w="85" w:type="dxa"/>
              <w:end w:w="85" w:type="dxa"/>
            </w:tcMar>
          </w:tcPr>
          <w:p>
            <w:pPr>
              <w:spacing w:after="0" w:line="247" w:lineRule="auto"/>
            </w:pPr>
            <w:r>
              <w:rPr>
                <w:sz w:val="16"/>
              </w:rPr>
            </w:r>
            <w:r>
              <w:rPr>
                <w:sz w:val="16"/>
              </w:rPr>
              <w:t>Geen echte backendinzending of klantbericht</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UX-X10</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Volledige ketentest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Testauthenticatie server-side; geen AI/automatische commerciële communicatie</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UX-X11</w:t>
            </w:r>
          </w:p>
        </w:tc>
        <w:tc>
          <w:tcPr>
            <w:tcW w:type="dxa" w:w="3251"/>
            <w:vAlign w:val="center"/>
            <w:tcMar>
              <w:top w:w="85" w:type="dxa"/>
              <w:start w:w="85" w:type="dxa"/>
              <w:bottom w:w="85" w:type="dxa"/>
              <w:end w:w="85" w:type="dxa"/>
            </w:tcMar>
          </w:tcPr>
          <w:p>
            <w:pPr>
              <w:spacing w:after="0" w:line="247" w:lineRule="auto"/>
            </w:pPr>
            <w:r>
              <w:rPr>
                <w:sz w:val="16"/>
              </w:rPr>
            </w:r>
            <w:r>
              <w:rPr>
                <w:sz w:val="16"/>
              </w:rPr>
              <w:t>GA4/GSC ontbreekt of veroudert</w:t>
            </w:r>
          </w:p>
        </w:tc>
        <w:tc>
          <w:tcPr>
            <w:tcW w:type="dxa" w:w="3251"/>
            <w:vAlign w:val="center"/>
            <w:tcMar>
              <w:top w:w="85" w:type="dxa"/>
              <w:start w:w="85" w:type="dxa"/>
              <w:bottom w:w="85" w:type="dxa"/>
              <w:end w:w="85" w:type="dxa"/>
            </w:tcMar>
          </w:tcPr>
          <w:p>
            <w:pPr>
              <w:spacing w:after="0" w:line="247" w:lineRule="auto"/>
            </w:pPr>
            <w:r>
              <w:rPr>
                <w:sz w:val="16"/>
              </w:rPr>
            </w:r>
            <w:r>
              <w:rPr>
                <w:sz w:val="16"/>
              </w:rPr>
              <w:t>Geen fictieve 0, bron-/freshnessstatus zichtbaar</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UX-X12</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Geaggregeerd leeftijd/gender ontbreekt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demografische schatting en nooit toewijzen aan Clarity-sessie</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UX-X13</w:t>
            </w:r>
          </w:p>
        </w:tc>
        <w:tc>
          <w:tcPr>
            <w:tcW w:type="dxa" w:w="3251"/>
            <w:vAlign w:val="center"/>
            <w:tcMar>
              <w:top w:w="85" w:type="dxa"/>
              <w:start w:w="85" w:type="dxa"/>
              <w:bottom w:w="85" w:type="dxa"/>
              <w:end w:w="85" w:type="dxa"/>
            </w:tcMar>
          </w:tcPr>
          <w:p>
            <w:pPr>
              <w:spacing w:after="0" w:line="247" w:lineRule="auto"/>
            </w:pPr>
            <w:r>
              <w:rPr>
                <w:sz w:val="16"/>
              </w:rPr>
            </w:r>
            <w:r>
              <w:rPr>
                <w:sz w:val="16"/>
              </w:rPr>
              <w:t>Klant opent Clarity-opname</w:t>
            </w:r>
          </w:p>
        </w:tc>
        <w:tc>
          <w:tcPr>
            <w:tcW w:type="dxa" w:w="3251"/>
            <w:vAlign w:val="center"/>
            <w:tcMar>
              <w:top w:w="85" w:type="dxa"/>
              <w:start w:w="85" w:type="dxa"/>
              <w:bottom w:w="85" w:type="dxa"/>
              <w:end w:w="85" w:type="dxa"/>
            </w:tcMar>
          </w:tcPr>
          <w:p>
            <w:pPr>
              <w:spacing w:after="0" w:line="247" w:lineRule="auto"/>
            </w:pPr>
            <w:r>
              <w:rPr>
                <w:sz w:val="16"/>
              </w:rPr>
            </w:r>
            <w:r>
              <w:rPr>
                <w:sz w:val="16"/>
              </w:rPr>
              <w:t>Alleen geautoriseerde deep-link; geen niet-ondersteunde embedded player beloofd</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UX-X14</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AI-vermeldingensample bekeken</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Platform/taal/land/datum en beperkte meetdekking zichtbaar</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UX-X15</w:t>
            </w:r>
          </w:p>
        </w:tc>
        <w:tc>
          <w:tcPr>
            <w:tcW w:type="dxa" w:w="3251"/>
            <w:vAlign w:val="center"/>
            <w:tcMar>
              <w:top w:w="85" w:type="dxa"/>
              <w:start w:w="85" w:type="dxa"/>
              <w:bottom w:w="85" w:type="dxa"/>
              <w:end w:w="85" w:type="dxa"/>
            </w:tcMar>
          </w:tcPr>
          <w:p>
            <w:pPr>
              <w:spacing w:after="0" w:line="247" w:lineRule="auto"/>
            </w:pPr>
            <w:r>
              <w:rPr>
                <w:sz w:val="16"/>
              </w:rPr>
            </w:r>
            <w:r>
              <w:rPr>
                <w:sz w:val="16"/>
              </w:rPr>
              <w:t>Maandadvies gegenereerd</w:t>
            </w:r>
          </w:p>
        </w:tc>
        <w:tc>
          <w:tcPr>
            <w:tcW w:type="dxa" w:w="3251"/>
            <w:vAlign w:val="center"/>
            <w:tcMar>
              <w:top w:w="85" w:type="dxa"/>
              <w:start w:w="85" w:type="dxa"/>
              <w:bottom w:w="85" w:type="dxa"/>
              <w:end w:w="85" w:type="dxa"/>
            </w:tcMar>
          </w:tcPr>
          <w:p>
            <w:pPr>
              <w:spacing w:after="0" w:line="247" w:lineRule="auto"/>
            </w:pPr>
            <w:r>
              <w:rPr>
                <w:sz w:val="16"/>
              </w:rPr>
            </w:r>
            <w:r>
              <w:rPr>
                <w:sz w:val="16"/>
              </w:rPr>
              <w:t>Bron, hypothese, onzekerheid, reviewbeslissing en mogelijke wijzigingsaanvraag zichtbaar</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UX-X16</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Extra fotografie aangevraagd</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Geen automatische opdracht; eerst scope/prijsakkoord</w:t>
            </w:r>
          </w:p>
        </w:tc>
      </w:tr>
      <w:tr>
        <w:tc>
          <w:tcPr>
            <w:tcW w:type="dxa" w:w="3251"/>
            <w:vAlign w:val="center"/>
            <w:tcMar>
              <w:top w:w="85" w:type="dxa"/>
              <w:start w:w="85" w:type="dxa"/>
              <w:bottom w:w="85" w:type="dxa"/>
              <w:end w:w="85" w:type="dxa"/>
            </w:tcMar>
          </w:tcPr>
          <w:p>
            <w:pPr>
              <w:spacing w:after="0" w:line="247" w:lineRule="auto"/>
            </w:pPr>
            <w:r>
              <w:rPr>
                <w:sz w:val="16"/>
              </w:rPr>
            </w:r>
            <w:r>
              <w:rPr>
                <w:sz w:val="16"/>
              </w:rPr>
              <w:t>UX-X17</w:t>
            </w:r>
          </w:p>
        </w:tc>
        <w:tc>
          <w:tcPr>
            <w:tcW w:type="dxa" w:w="3251"/>
            <w:vAlign w:val="center"/>
            <w:tcMar>
              <w:top w:w="85" w:type="dxa"/>
              <w:start w:w="85" w:type="dxa"/>
              <w:bottom w:w="85" w:type="dxa"/>
              <w:end w:w="85" w:type="dxa"/>
            </w:tcMar>
          </w:tcPr>
          <w:p>
            <w:pPr>
              <w:spacing w:after="0" w:line="247" w:lineRule="auto"/>
            </w:pPr>
            <w:r>
              <w:rPr>
                <w:sz w:val="16"/>
              </w:rPr>
            </w:r>
            <w:r>
              <w:rPr>
                <w:sz w:val="16"/>
              </w:rPr>
              <w:t>Kleine schermbreedte (320/390px)</w:t>
            </w:r>
          </w:p>
        </w:tc>
        <w:tc>
          <w:tcPr>
            <w:tcW w:type="dxa" w:w="3251"/>
            <w:vAlign w:val="center"/>
            <w:tcMar>
              <w:top w:w="85" w:type="dxa"/>
              <w:start w:w="85" w:type="dxa"/>
              <w:bottom w:w="85" w:type="dxa"/>
              <w:end w:w="85" w:type="dxa"/>
            </w:tcMar>
          </w:tcPr>
          <w:p>
            <w:pPr>
              <w:spacing w:after="0" w:line="247" w:lineRule="auto"/>
            </w:pPr>
            <w:r>
              <w:rPr>
                <w:sz w:val="16"/>
              </w:rPr>
            </w:r>
            <w:r>
              <w:rPr>
                <w:sz w:val="16"/>
              </w:rPr>
              <w:t>Hoofdacties bereikbaar, geen viewportbrede horizontale overflow</w:t>
            </w:r>
          </w:p>
        </w:tc>
      </w:tr>
      <w:tr>
        <w:tc>
          <w:tcPr>
            <w:tcW w:type="dxa" w:w="3251"/>
            <w:vAlign w:val="center"/>
            <w:tcMar>
              <w:top w:w="85" w:type="dxa"/>
              <w:start w:w="85" w:type="dxa"/>
              <w:bottom w:w="85" w:type="dxa"/>
              <w:end w:w="85" w:type="dxa"/>
            </w:tcMar>
            <w:shd w:fill="F4F7FC"/>
          </w:tcPr>
          <w:p>
            <w:pPr>
              <w:spacing w:after="0" w:line="247" w:lineRule="auto"/>
            </w:pPr>
            <w:r>
              <w:rPr>
                <w:sz w:val="16"/>
              </w:rPr>
            </w:r>
            <w:r>
              <w:rPr>
                <w:sz w:val="16"/>
              </w:rPr>
              <w:t>UX-X18</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Lege/foute/gepauzeerde datastaat</w:t>
            </w:r>
          </w:p>
        </w:tc>
        <w:tc>
          <w:tcPr>
            <w:tcW w:type="dxa" w:w="3251"/>
            <w:vAlign w:val="center"/>
            <w:tcMar>
              <w:top w:w="85" w:type="dxa"/>
              <w:start w:w="85" w:type="dxa"/>
              <w:bottom w:w="85" w:type="dxa"/>
              <w:end w:w="85" w:type="dxa"/>
            </w:tcMar>
            <w:shd w:fill="F4F7FC"/>
          </w:tcPr>
          <w:p>
            <w:pPr>
              <w:spacing w:after="0" w:line="247" w:lineRule="auto"/>
            </w:pPr>
            <w:r>
              <w:rPr>
                <w:sz w:val="16"/>
              </w:rPr>
            </w:r>
            <w:r>
              <w:rPr>
                <w:sz w:val="16"/>
              </w:rPr>
              <w:t>Heldere betekenis en handelingsoptie voor betreffende rol</w:t>
            </w:r>
          </w:p>
        </w:tc>
      </w:tr>
    </w:tbl>
    <w:p>
      <w:pPr>
        <w:spacing w:after="0"/>
      </w:pPr>
    </w:p>
    <w:p/>
    <w:p>
      <w:pPr>
        <w:pStyle w:val="Title"/>
      </w:pPr>
      <w:r>
        <w:t>9. Vastgestelde ontwerpbesluiten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ID</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Ontwerpkeuze</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Advies</w:t>
            </w:r>
          </w:p>
        </w:tc>
        <w:tc>
          <w:tcPr>
            <w:tcW w:type="dxa" w:w="2438"/>
            <w:vAlign w:val="center"/>
            <w:tcMar>
              <w:top w:w="85" w:type="dxa"/>
              <w:start w:w="85" w:type="dxa"/>
              <w:bottom w:w="85" w:type="dxa"/>
              <w:end w:w="85" w:type="dxa"/>
            </w:tcMar>
            <w:shd w:fill="1C2A40"/>
          </w:tcPr>
          <w:p>
            <w:pPr>
              <w:spacing w:after="0" w:line="247" w:lineRule="auto"/>
            </w:pPr>
            <w:r>
              <w:rPr>
                <w:b/>
                <w:color w:val="FFFFFF"/>
                <w:sz w:val="15"/>
              </w:rPr>
            </w:r>
            <w:r>
              <w:rPr>
                <w:b/>
                <w:color w:val="FFFFFF"/>
                <w:sz w:val="15"/>
              </w:rPr>
              <w:t>Besluitstatus</w:t>
            </w:r>
          </w:p>
        </w:tc>
      </w:tr>
      <w:tr>
        <w:tc>
          <w:tcPr>
            <w:tcW w:type="dxa" w:w="2438"/>
            <w:vAlign w:val="center"/>
            <w:tcMar>
              <w:top w:w="85" w:type="dxa"/>
              <w:start w:w="85" w:type="dxa"/>
              <w:bottom w:w="85" w:type="dxa"/>
              <w:end w:w="85" w:type="dxa"/>
            </w:tcMar>
          </w:tcPr>
          <w:p>
            <w:pPr>
              <w:spacing w:after="0" w:line="247" w:lineRule="auto"/>
            </w:pPr>
            <w:r>
              <w:rPr>
                <w:sz w:val="15"/>
              </w:rPr>
            </w:r>
            <w:r>
              <w:rPr>
                <w:sz w:val="15"/>
              </w:rPr>
              <w:t>D-01</w:t>
            </w:r>
          </w:p>
        </w:tc>
        <w:tc>
          <w:tcPr>
            <w:tcW w:type="dxa" w:w="2438"/>
            <w:vAlign w:val="center"/>
            <w:tcMar>
              <w:top w:w="85" w:type="dxa"/>
              <w:start w:w="85" w:type="dxa"/>
              <w:bottom w:w="85" w:type="dxa"/>
              <w:end w:w="85" w:type="dxa"/>
            </w:tcMar>
          </w:tcPr>
          <w:p>
            <w:pPr>
              <w:spacing w:after="0" w:line="247" w:lineRule="auto"/>
            </w:pPr>
            <w:r>
              <w:rPr>
                <w:sz w:val="15"/>
              </w:rPr>
            </w:r>
            <w:r>
              <w:rPr>
                <w:b/>
                <w:sz w:val="15"/>
              </w:rPr>
              <w:t>Hoeveel formele gates?</w:t>
            </w:r>
          </w:p>
        </w:tc>
        <w:tc>
          <w:tcPr>
            <w:tcW w:type="dxa" w:w="2438"/>
            <w:vAlign w:val="center"/>
            <w:tcMar>
              <w:top w:w="85" w:type="dxa"/>
              <w:start w:w="85" w:type="dxa"/>
              <w:bottom w:w="85" w:type="dxa"/>
              <w:end w:w="85" w:type="dxa"/>
            </w:tcMar>
          </w:tcPr>
          <w:p>
            <w:pPr>
              <w:spacing w:after="0" w:line="247" w:lineRule="auto"/>
            </w:pPr>
            <w:r>
              <w:rPr>
                <w:sz w:val="15"/>
              </w:rPr>
              <w:t>Twee gates: A — Strategie &amp; Scope en B — Publicatie. Intakecontrole hoort bij A.</w:t>
            </w:r>
            <w:r>
              <w:rPr>
                <w:sz w:val="15"/>
              </w:rPr>
            </w:r>
          </w:p>
        </w:tc>
        <w:tc>
          <w:tcPr>
            <w:tcW w:type="dxa" w:w="2438"/>
            <w:vAlign w:val="center"/>
            <w:tcMar>
              <w:top w:w="85" w:type="dxa"/>
              <w:start w:w="85" w:type="dxa"/>
              <w:bottom w:w="85" w:type="dxa"/>
              <w:end w:w="85" w:type="dxa"/>
            </w:tcMar>
          </w:tcPr>
          <w:p>
            <w:pPr>
              <w:spacing w:after="0" w:line="247" w:lineRule="auto"/>
            </w:pPr>
            <w:r>
              <w:rPr>
                <w:sz w:val="15"/>
              </w:rPr>
              <w:t>Goedgekeurd</w:t>
            </w:r>
            <w:r>
              <w:rPr>
                <w:sz w:val="15"/>
              </w:rPr>
            </w:r>
          </w:p>
        </w:tc>
      </w:tr>
      <w:tr>
        <w:tc>
          <w:tcPr>
            <w:tcW w:type="dxa" w:w="2438"/>
            <w:vAlign w:val="center"/>
            <w:tcMar>
              <w:top w:w="85" w:type="dxa"/>
              <w:start w:w="85" w:type="dxa"/>
              <w:bottom w:w="85" w:type="dxa"/>
              <w:end w:w="85" w:type="dxa"/>
            </w:tcMar>
            <w:shd w:fill="F4F7FC"/>
          </w:tcPr>
          <w:p>
            <w:pPr>
              <w:spacing w:after="0" w:line="247" w:lineRule="auto"/>
            </w:pPr>
            <w:r>
              <w:rPr>
                <w:sz w:val="15"/>
              </w:rPr>
            </w:r>
            <w:r>
              <w:rPr>
                <w:sz w:val="15"/>
              </w:rPr>
              <w:t>D-02</w:t>
            </w:r>
          </w:p>
        </w:tc>
        <w:tc>
          <w:tcPr>
            <w:tcW w:type="dxa" w:w="2438"/>
            <w:vAlign w:val="center"/>
            <w:tcMar>
              <w:top w:w="85" w:type="dxa"/>
              <w:start w:w="85" w:type="dxa"/>
              <w:bottom w:w="85" w:type="dxa"/>
              <w:end w:w="85" w:type="dxa"/>
            </w:tcMar>
            <w:shd w:fill="F4F7FC"/>
          </w:tcPr>
          <w:p>
            <w:pPr>
              <w:spacing w:after="0" w:line="247" w:lineRule="auto"/>
            </w:pPr>
            <w:r>
              <w:rPr>
                <w:sz w:val="15"/>
              </w:rPr>
            </w:r>
            <w:r>
              <w:rPr>
                <w:b/>
                <w:sz w:val="15"/>
              </w:rPr>
              <w:t>Welke dashboardstijl?</w:t>
            </w:r>
          </w:p>
        </w:tc>
        <w:tc>
          <w:tcPr>
            <w:tcW w:type="dxa" w:w="2438"/>
            <w:vAlign w:val="center"/>
            <w:tcMar>
              <w:top w:w="85" w:type="dxa"/>
              <w:start w:w="85" w:type="dxa"/>
              <w:bottom w:w="85" w:type="dxa"/>
              <w:end w:w="85" w:type="dxa"/>
            </w:tcMar>
            <w:shd w:fill="F4F7FC"/>
          </w:tcPr>
          <w:p>
            <w:pPr>
              <w:spacing w:after="0" w:line="247" w:lineRule="auto"/>
            </w:pPr>
            <w:r>
              <w:rPr>
                <w:sz w:val="15"/>
              </w:rPr>
              <w:t>Premium lichte SaaS-stijl voor beide dashboards; exacte tokens tijdens implementatie verfijnbaar</w:t>
            </w:r>
            <w:r>
              <w:rPr>
                <w:sz w:val="15"/>
              </w:rPr>
            </w:r>
          </w:p>
        </w:tc>
        <w:tc>
          <w:tcPr>
            <w:tcW w:type="dxa" w:w="2438"/>
            <w:vAlign w:val="center"/>
            <w:tcMar>
              <w:top w:w="85" w:type="dxa"/>
              <w:start w:w="85" w:type="dxa"/>
              <w:bottom w:w="85" w:type="dxa"/>
              <w:end w:w="85" w:type="dxa"/>
            </w:tcMar>
            <w:shd w:fill="F4F7FC"/>
          </w:tcPr>
          <w:p>
            <w:pPr>
              <w:spacing w:after="0" w:line="247" w:lineRule="auto"/>
            </w:pPr>
            <w:r>
              <w:rPr>
                <w:sz w:val="15"/>
              </w:rPr>
              <w:t>Goedgekeurd: richting; tokens verfijnbaar</w:t>
            </w:r>
            <w:r>
              <w:rPr>
                <w:sz w:val="15"/>
              </w:rPr>
            </w:r>
          </w:p>
        </w:tc>
      </w:tr>
      <w:tr>
        <w:tc>
          <w:tcPr>
            <w:tcW w:type="dxa" w:w="2438"/>
            <w:vAlign w:val="center"/>
            <w:tcMar>
              <w:top w:w="85" w:type="dxa"/>
              <w:start w:w="85" w:type="dxa"/>
              <w:bottom w:w="85" w:type="dxa"/>
              <w:end w:w="85" w:type="dxa"/>
            </w:tcMar>
          </w:tcPr>
          <w:p>
            <w:pPr>
              <w:spacing w:after="0" w:line="247" w:lineRule="auto"/>
            </w:pPr>
            <w:r>
              <w:rPr>
                <w:sz w:val="15"/>
              </w:rPr>
            </w:r>
            <w:r>
              <w:rPr>
                <w:sz w:val="15"/>
              </w:rPr>
              <w:t>D-03</w:t>
            </w:r>
          </w:p>
        </w:tc>
        <w:tc>
          <w:tcPr>
            <w:tcW w:type="dxa" w:w="2438"/>
            <w:vAlign w:val="center"/>
            <w:tcMar>
              <w:top w:w="85" w:type="dxa"/>
              <w:start w:w="85" w:type="dxa"/>
              <w:bottom w:w="85" w:type="dxa"/>
              <w:end w:w="85" w:type="dxa"/>
            </w:tcMar>
          </w:tcPr>
          <w:p>
            <w:pPr>
              <w:spacing w:after="0" w:line="247" w:lineRule="auto"/>
            </w:pPr>
            <w:r>
              <w:rPr>
                <w:sz w:val="15"/>
              </w:rPr>
            </w:r>
            <w:r>
              <w:rPr>
                <w:b/>
                <w:sz w:val="15"/>
              </w:rPr>
              <w:t>Wat zien Team Members bij websiteprestaties?</w:t>
            </w:r>
          </w:p>
        </w:tc>
        <w:tc>
          <w:tcPr>
            <w:tcW w:type="dxa" w:w="2438"/>
            <w:vAlign w:val="center"/>
            <w:tcMar>
              <w:top w:w="85" w:type="dxa"/>
              <w:start w:w="85" w:type="dxa"/>
              <w:bottom w:w="85" w:type="dxa"/>
              <w:end w:w="85" w:type="dxa"/>
            </w:tcMar>
          </w:tcPr>
          <w:p>
            <w:pPr>
              <w:spacing w:after="0" w:line="247" w:lineRule="auto"/>
            </w:pPr>
            <w:r>
              <w:rPr>
                <w:sz w:val="15"/>
              </w:rPr>
              <w:t>Geen organisatiebrede Websiteprestaties of Resultaten voor Team Members; toegewezen werk en optioneel eigen dealwaarde</w:t>
            </w:r>
            <w:r>
              <w:rPr>
                <w:sz w:val="15"/>
              </w:rPr>
            </w:r>
          </w:p>
        </w:tc>
        <w:tc>
          <w:tcPr>
            <w:tcW w:type="dxa" w:w="2438"/>
            <w:vAlign w:val="center"/>
            <w:tcMar>
              <w:top w:w="85" w:type="dxa"/>
              <w:start w:w="85" w:type="dxa"/>
              <w:bottom w:w="85" w:type="dxa"/>
              <w:end w:w="85" w:type="dxa"/>
            </w:tcMar>
          </w:tcPr>
          <w:p>
            <w:pPr>
              <w:spacing w:after="0" w:line="247" w:lineRule="auto"/>
            </w:pPr>
            <w:r>
              <w:rPr>
                <w:sz w:val="15"/>
              </w:rPr>
              <w:t>Goedgekeurd</w:t>
            </w:r>
            <w:r>
              <w:rPr>
                <w:sz w:val="15"/>
              </w:rPr>
            </w:r>
          </w:p>
        </w:tc>
      </w:tr>
    </w:tbl>
    <w:p>
      <w:pPr>
        <w:spacing w:after="0"/>
      </w:pPr>
    </w:p>
    <w:p>
      <w:r>
        <w:t>Besluitdatum: 17 oktober 2026. Deze besluiten completeren Fase 3. De overige product- en UX-besluiten blijven gelden. Detailverbeteringen zijn toegestaan binnen de vastgestelde productscope.</w:t>
      </w:r>
    </w:p>
    <w:p/>
    <w:p>
      <w:pPr>
        <w:pStyle w:val="Title"/>
      </w:pPr>
      <w:r>
        <w:t>10. Handover naar Fase 4</w:t>
      </w:r>
    </w:p>
    <w:p>
      <w:r>
        <w:t>Fase 3 UX/UI &amp; User Flows v1.0 is definitief goedgekeurd. Fase 4 bepaalt pas daarna: auth/tenant-isolatie, database, statusmodellen, eventverwerking en idempotentie, connectoren, AI-agentorkestratie, Playwright-runner, CMS, deployment, caching, kostenquota en privacy/securitymaatregelen.</w:t>
      </w:r>
      <w:r>
        <w:rPr>
          <w:b/>
        </w:rPr>
      </w:r>
      <w:r/>
    </w:p>
    <w:p>
      <w:r>
        <w:rPr>
          <w:b/>
        </w:rPr>
        <w:t>Handover-artefacten:</w:t>
      </w:r>
      <w:r>
        <w:t xml:space="preserve"> de Fase 2 productbaseline; beide dashboardprototypeversies; Q1–Q4 schemas; onboarding v1.1 mapping; Project Brief Review; UX-v0.9 consolidatie; cross-module acceptatietests; concreet designsystem. Belangrijke architectuurregel: een demo-interactie of getoonde permissie is nooit een vervanging voor productieautorisatie.</w:t>
      </w:r>
    </w:p>
    <w:p>
      <w:r>
        <w:rPr>
          <w:b/>
        </w:rPr>
        <w:t>Aanbevolen vervolgstap:</w:t>
      </w:r>
      <w:r>
        <w:t xml:space="preserve"> keur de drie design-/interactievoorstellen uit hoofdstuk 9 goed of geef een gerichte wijziging. Pas dan noemen we Fase 3 definitief afgerond.</w:t>
      </w:r>
    </w:p>
    <w:p>
      <w:pPr>
        <w:pStyle w:val="Heading2"/>
      </w:pPr>
      <w:r>
        <w:t>Goedkeuringsnotitie</w:t>
      </w:r>
    </w:p>
    <w:p>
      <w:pPr/>
      <w:r>
        <w:t>Fase 3 is vastgesteld als UX-baseline voor de technische architectuur. Ontwerpkeuzes: twee formele gates, één premium lichte SaaS-designrichting en rolafhankelijke toegangsrechten met optionele inzage van eigen dealwaarde voor Team Members. Nieuwe functionaliteit vereist een apart scopebesluit. Visuele detailtokens kunnen tijdens implementatie binnen de goedgekeurde richting worden verfijnd.</w:t>
      </w:r>
    </w:p>
    <w:sectPr w:rsidR="00FC693F" w:rsidRPr="0006063C" w:rsidSect="00034616">
      <w:headerReference w:type="default" r:id="rId9"/>
      <w:footerReference w:type="default" r:id="rId10"/>
      <w:pgSz w:w="11906" w:h="16838"/>
      <w:pgMar w:top="1219" w:right="1077" w:bottom="113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8B"/>
        <w:sz w:val="14"/>
      </w:rPr>
      <w:t xml:space="preserve">FASE 3 · UX VASTGESTELD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WESTEND DIGITAL  /  CONVERSION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2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42033"/>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34CD5"/>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4203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1420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234CD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Westend Digital — Fase 3 Integrale UX-review &amp; Designsystem v0.9</dc:title>
  <dc:subject>UX consolidatie, informatiestructuur, user flows, designsystem en laatste beslispunten</dc:subject>
  <dc:creator>Westend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