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Westend Digital Conversion Engine</w:t>
      </w:r>
    </w:p>
    <w:p>
      <w:pPr>
        <w:pStyle w:val="Heading1"/>
      </w:pPr>
      <w:r>
        <w:t>Fase 3 — Project Brief Review &amp; Website Production v0.3</w:t>
      </w:r>
    </w:p>
    <w:p>
      <w:r>
        <w:rPr>
          <w:b/>
        </w:rPr>
        <w:t>Status:</w:t>
      </w:r>
      <w:r>
        <w:t xml:space="preserve"> klikbaar UX-prototype voor review · ter definitieve productreview </w:t>
      </w:r>
      <w:r>
        <w:rPr>
          <w:b/>
        </w:rPr>
        <w:t>Datum:</w:t>
      </w:r>
      <w:r>
        <w:t xml:space="preserve"> 17 oktober 2026 </w:t>
      </w:r>
      <w:r>
        <w:rPr>
          <w:b/>
        </w:rPr>
        <w:t>Gebruikersrol:</w:t>
      </w:r>
      <w:r>
        <w:t xml:space="preserve"> uitsluitend Westend Platform Admin </w:t>
      </w:r>
      <w:r>
        <w:rPr>
          <w:b/>
        </w:rPr>
        <w:t>Bronnen:</w:t>
      </w:r>
      <w:r>
        <w:t xml:space="preserve"> Product Discovery v0.3; Requirements &amp; Scope v1.0; Q1–Q4-specificaties v1.0; geïntegreerde onboarding en Project Brief Generator v0.1 </w:t>
      </w:r>
      <w:r>
        <w:rPr>
          <w:b/>
        </w:rPr>
        <w:t>Niet vastgesteld:</w:t>
      </w:r>
      <w:r>
        <w:t xml:space="preserve"> technische stack, deployarchitectuur, echte AI-orkestratie en prijsafhandeling.</w:t>
      </w:r>
    </w:p>
    <w:p>
      <w:pPr>
        <w:pStyle w:val="Heading1"/>
      </w:pPr>
      <w:r>
        <w:t>1. Doel en afbakening</w:t>
      </w:r>
    </w:p>
    <w:p>
      <w:r>
        <w:t xml:space="preserve">De reviewomgeving is </w:t>
      </w:r>
      <w:r>
        <w:rPr>
          <w:b/>
        </w:rPr>
        <w:t>een extra module in het bestaande Westend-managementdashboard</w:t>
      </w:r>
      <w:r>
        <w:t>, geen afzonderlijke SaaS of klantportaal. Ze brengt ingediende Q1–Q4-vragenlijsten samen als versieerbare Project Brief en helpt Westend de websiteproductie beheerst uit te voeren. De klant vult vragenlijsten in; alleen Westend beoordeelt feiten, scope, bewijs en de strategie.</w:t>
      </w:r>
    </w:p>
    <w:p>
      <w:r>
        <w:t xml:space="preserve">De MVP-module ondersteunt een herkenbare </w:t>
      </w:r>
      <w:r>
        <w:rPr>
          <w:b/>
        </w:rPr>
        <w:t>human-in-the-loop workflow</w:t>
      </w:r>
      <w:r>
        <w:t>: intake ontvangen → broninformatie controleren → open punten oplossen → Project Brief goedkeuren → strategie goedkeuren → copy/design → staging → QA en klantakkoord → klaar voor de daadwerkelijke livegangprocedure.</w:t>
      </w:r>
    </w:p>
    <w:p>
      <w:r>
        <w:rPr>
          <w:b/>
        </w:rPr>
        <w:t>Niet in MVP:</w:t>
      </w:r>
      <w:r>
        <w:t xml:space="preserve"> een AI-agentconsole voor klanten, vrij bewerkbare workflows, offerte- of betaalsysteem, automatisch publiceren, definitieve e-signatures, ticketdashboard en nieuwe huisstijlontwikkeling binnen het standaardpakket.</w:t>
      </w:r>
    </w:p>
    <w:p>
      <w:pPr>
        <w:pStyle w:val="Heading1"/>
      </w:pPr>
      <w:r>
        <w:t>2. Plaats in de informatiearchitectuur</w:t>
      </w:r>
    </w:p>
    <w:p>
      <w:r>
        <w:t xml:space="preserve">Het bestaande beheer-menu blijft intact: Operations, Klanten, Onboarding, Websites, Monitoring, AI &amp; flows, Website Intelligence, Databronnen, Templates en Support. </w:t>
      </w:r>
      <w:r>
        <w:rPr>
          <w:b/>
        </w:rPr>
        <w:t>Project Brief Review</w:t>
      </w:r>
      <w:r>
        <w:t xml:space="preserve"> komt direct onder </w:t>
      </w:r>
      <w:r>
        <w:rPr>
          <w:b/>
        </w:rPr>
        <w:t>Onboarding</w:t>
      </w:r>
      <w:r>
        <w:t>. Vanuit Operations en Onboarding is de reviewomgeving bereikbaar; één klant kan vanuit de wachtrij worden geopend.</w:t>
      </w:r>
    </w:p>
    <w:p>
      <w:pPr>
        <w:pStyle w:val="Heading3"/>
      </w:pPr>
      <w:r>
        <w:t>Hoofdschermen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cantSplit/>
          <w:tblHeader/>
        </w:trPr>
        <w:tc>
          <w:tcPr>
            <w:tcW w:type="dxa" w:w="3240"/>
            <w:vAlign w:val="center"/>
            <w:shd w:fill="E9F2F6"/>
          </w:tcPr>
          <w:p>
            <w:pPr>
              <w:spacing w:after="20" w:line="252" w:lineRule="auto"/>
            </w:pPr>
            <w:r>
              <w:rPr>
                <w:b/>
                <w:color w:val="1B4B60"/>
                <w:sz w:val="15"/>
              </w:rPr>
            </w:r>
            <w:r>
              <w:rPr>
                <w:b/>
                <w:color w:val="1B4B60"/>
                <w:sz w:val="15"/>
              </w:rPr>
              <w:t>Scherm</w:t>
            </w:r>
          </w:p>
        </w:tc>
        <w:tc>
          <w:tcPr>
            <w:tcW w:type="dxa" w:w="3240"/>
            <w:vAlign w:val="center"/>
            <w:shd w:fill="E9F2F6"/>
          </w:tcPr>
          <w:p>
            <w:pPr>
              <w:spacing w:after="20" w:line="252" w:lineRule="auto"/>
            </w:pPr>
            <w:r>
              <w:rPr>
                <w:b/>
                <w:color w:val="1B4B60"/>
                <w:sz w:val="15"/>
              </w:rPr>
            </w:r>
            <w:r>
              <w:rPr>
                <w:b/>
                <w:color w:val="1B4B60"/>
                <w:sz w:val="15"/>
              </w:rPr>
              <w:t>Inhoud</w:t>
            </w:r>
          </w:p>
        </w:tc>
        <w:tc>
          <w:tcPr>
            <w:tcW w:type="dxa" w:w="3240"/>
            <w:vAlign w:val="center"/>
            <w:shd w:fill="E9F2F6"/>
          </w:tcPr>
          <w:p>
            <w:pPr>
              <w:spacing w:after="20" w:line="252" w:lineRule="auto"/>
            </w:pPr>
            <w:r>
              <w:rPr>
                <w:b/>
                <w:color w:val="1B4B60"/>
                <w:sz w:val="15"/>
              </w:rPr>
            </w:r>
            <w:r>
              <w:rPr>
                <w:b/>
                <w:color w:val="1B4B60"/>
                <w:sz w:val="15"/>
              </w:rPr>
              <w:t>Actie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Reviewoverzicht</w:t>
            </w:r>
          </w:p>
        </w:tc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KPI's, klantwachtrij, status en versienummer</w:t>
            </w:r>
          </w:p>
        </w:tc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Selecteer bedrijf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Project Brief</w:t>
            </w:r>
          </w:p>
        </w:tc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Q1–Q4, bronvelden, gecontroleerde bedrijfs-/doelgroep-/aanbod-/brandinggegevens</w:t>
            </w:r>
          </w:p>
        </w:tc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Bekijk bron en exporteer demo-JSON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Review &amp; blokkades</w:t>
            </w:r>
          </w:p>
        </w:tc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Volledigheid, claims, beeldrechten, scope/meerwerk, technische gegevens</w:t>
            </w:r>
          </w:p>
        </w:tc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Markeer handmatige controle, vraag aanvulling, keur intake goed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Productie &amp; vrijgave</w:t>
            </w:r>
          </w:p>
        </w:tc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Gate 1, Gate A, productiefases, Gate B / QA</w:t>
            </w:r>
          </w:p>
        </w:tc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Strategie, staging, QA en gereedmelding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Historie</w:t>
            </w:r>
          </w:p>
        </w:tc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Project Brief-versies, genomen besluiten en fictieve gebeurtenissen</w:t>
            </w:r>
          </w:p>
        </w:tc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Simuleer nieuwe wijziging, exporteer snapshot</w:t>
            </w:r>
          </w:p>
        </w:tc>
      </w:tr>
    </w:tbl>
    <w:p>
      <w:pPr>
        <w:spacing w:after="0"/>
      </w:pPr>
    </w:p>
    <w:p>
      <w:pPr>
        <w:pStyle w:val="Heading3"/>
      </w:pPr>
      <w:r>
        <w:t>UX-principes</w:t>
      </w:r>
    </w:p>
    <w:p>
      <w:pPr>
        <w:pStyle w:val="ListBullet"/>
        <w:spacing w:after="80"/>
      </w:pPr>
      <w:r>
        <w:rPr>
          <w:b/>
        </w:rPr>
        <w:t>Werk eerst weg wat blokkeert.</w:t>
      </w:r>
      <w:r>
        <w:t xml:space="preserve"> De wachtrij bevat de status per klant en intake-compleetheid.</w:t>
      </w:r>
    </w:p>
    <w:p>
      <w:pPr>
        <w:pStyle w:val="ListBullet"/>
        <w:spacing w:after="80"/>
      </w:pPr>
      <w:r>
        <w:rPr>
          <w:b/>
        </w:rPr>
        <w:t>Geen verborgen goedkeuring.</w:t>
      </w:r>
      <w:r>
        <w:t xml:space="preserve"> De UI toont expliciet waarom een actie geblokkeerd is.</w:t>
      </w:r>
    </w:p>
    <w:p>
      <w:pPr>
        <w:pStyle w:val="ListBullet"/>
        <w:spacing w:after="80"/>
      </w:pPr>
      <w:r>
        <w:rPr>
          <w:b/>
        </w:rPr>
        <w:t>Volledigheid is geen bewijs.</w:t>
      </w:r>
      <w:r>
        <w:t xml:space="preserve"> Een ingevuld veld is niet automatisch een gevalideerd diploma, review of prijs.</w:t>
      </w:r>
    </w:p>
    <w:p>
      <w:pPr>
        <w:pStyle w:val="ListBullet"/>
        <w:spacing w:after="80"/>
      </w:pPr>
      <w:r>
        <w:rPr>
          <w:b/>
        </w:rPr>
        <w:t>Herleidbare inhoud.</w:t>
      </w:r>
      <w:r>
        <w:t xml:space="preserve"> Bij de kernvelden wordt de bronvraag of het Project Brief-pad vermeld.</w:t>
      </w:r>
    </w:p>
    <w:p>
      <w:pPr>
        <w:pStyle w:val="ListBullet"/>
        <w:spacing w:after="80"/>
      </w:pPr>
      <w:r>
        <w:rPr>
          <w:b/>
        </w:rPr>
        <w:t>Scheiding commercieel/technisch.</w:t>
      </w:r>
      <w:r>
        <w:t xml:space="preserve"> Een meerwerkofferte is iets anders dan QA of toestemming voor publicatie.</w:t>
      </w:r>
    </w:p>
    <w:p>
      <w:pPr>
        <w:pStyle w:val="ListBullet"/>
        <w:spacing w:after="80"/>
      </w:pPr>
      <w:r>
        <w:rPr>
          <w:b/>
        </w:rPr>
        <w:t>Mobiel bruikbaar.</w:t>
      </w:r>
      <w:r>
        <w:t xml:space="preserve"> Wachtrij wordt verticaal; inhoud wordt in kaarten en korte blokken getoond.</w:t>
      </w:r>
    </w:p>
    <w:p>
      <w:pPr>
        <w:pStyle w:val="Heading1"/>
      </w:pPr>
      <w:r>
        <w:t>3. Statusmodel en vrijgave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cantSplit/>
          <w:tblHeader/>
        </w:trPr>
        <w:tc>
          <w:tcPr>
            <w:tcW w:type="dxa" w:w="3240"/>
            <w:vAlign w:val="center"/>
            <w:shd w:fill="E9F2F6"/>
          </w:tcPr>
          <w:p>
            <w:pPr>
              <w:spacing w:after="20" w:line="252" w:lineRule="auto"/>
            </w:pPr>
            <w:r>
              <w:rPr>
                <w:b/>
                <w:color w:val="1B4B60"/>
                <w:sz w:val="15"/>
              </w:rPr>
            </w:r>
            <w:r>
              <w:rPr>
                <w:b/>
                <w:color w:val="1B4B60"/>
                <w:sz w:val="15"/>
              </w:rPr>
              <w:t>Toestand</w:t>
            </w:r>
          </w:p>
        </w:tc>
        <w:tc>
          <w:tcPr>
            <w:tcW w:type="dxa" w:w="3240"/>
            <w:vAlign w:val="center"/>
            <w:shd w:fill="E9F2F6"/>
          </w:tcPr>
          <w:p>
            <w:pPr>
              <w:spacing w:after="20" w:line="252" w:lineRule="auto"/>
            </w:pPr>
            <w:r>
              <w:rPr>
                <w:b/>
                <w:color w:val="1B4B60"/>
                <w:sz w:val="15"/>
              </w:rPr>
            </w:r>
            <w:r>
              <w:rPr>
                <w:b/>
                <w:color w:val="1B4B60"/>
                <w:sz w:val="15"/>
              </w:rPr>
              <w:t>Voorwaarde</w:t>
            </w:r>
          </w:p>
        </w:tc>
        <w:tc>
          <w:tcPr>
            <w:tcW w:type="dxa" w:w="3240"/>
            <w:vAlign w:val="center"/>
            <w:shd w:fill="E9F2F6"/>
          </w:tcPr>
          <w:p>
            <w:pPr>
              <w:spacing w:after="20" w:line="252" w:lineRule="auto"/>
            </w:pPr>
            <w:r>
              <w:rPr>
                <w:b/>
                <w:color w:val="1B4B60"/>
                <w:sz w:val="15"/>
              </w:rPr>
            </w:r>
            <w:r>
              <w:rPr>
                <w:b/>
                <w:color w:val="1B4B60"/>
                <w:sz w:val="15"/>
              </w:rPr>
              <w:t>Vervolg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color w:val="245D7A"/>
                <w:sz w:val="15"/>
              </w:rPr>
              <w:t>intake_in_progress</w:t>
            </w:r>
          </w:p>
        </w:tc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Minstens één vragenlijst ontbreekt</w:t>
            </w:r>
          </w:p>
        </w:tc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Ondernemer aanvullen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color w:val="245D7A"/>
                <w:sz w:val="15"/>
              </w:rPr>
              <w:t>ready_for_review</w:t>
            </w:r>
          </w:p>
        </w:tc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Alle relevante Q1–Q4 ingestuurd</w:t>
            </w:r>
          </w:p>
        </w:tc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Controle door Westend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color w:val="245D7A"/>
                <w:sz w:val="15"/>
              </w:rPr>
              <w:t>review_needed</w:t>
            </w:r>
          </w:p>
        </w:tc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Claims, rechten, prijs, scope of domein onduidelijk</w:t>
            </w:r>
          </w:p>
        </w:tc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Verificatie of aanvullingsvraag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color w:val="245D7A"/>
                <w:sz w:val="15"/>
              </w:rPr>
              <w:t>brief_approved</w:t>
            </w:r>
          </w:p>
        </w:tc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Alle vereiste controles aantoonbaar akkoord</w:t>
            </w:r>
          </w:p>
        </w:tc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Strategie opstellen en reviewen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color w:val="245D7A"/>
                <w:sz w:val="15"/>
              </w:rPr>
              <w:t>strategy_approved</w:t>
            </w:r>
          </w:p>
        </w:tc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Strategie-artefact akkoord, inclusief scope en leadmagnet</w:t>
            </w:r>
          </w:p>
        </w:tc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Copy/design &amp; build starten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color w:val="245D7A"/>
                <w:sz w:val="15"/>
              </w:rPr>
              <w:t>staging_ready</w:t>
            </w:r>
          </w:p>
        </w:tc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Websiteconcept staat klaar op staging</w:t>
            </w:r>
          </w:p>
        </w:tc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QA uitvoeren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color w:val="245D7A"/>
                <w:sz w:val="15"/>
              </w:rPr>
              <w:t>qa_review</w:t>
            </w:r>
          </w:p>
        </w:tc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Tech- en contenttesten worden uitgevoerd</w:t>
            </w:r>
          </w:p>
        </w:tc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Klantakkoord en bewijs verzamelen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rFonts w:ascii="Consolas" w:hAnsi="Consolas"/>
                <w:color w:val="245D7A"/>
                <w:sz w:val="15"/>
              </w:rPr>
              <w:t>ready_for_launch</w:t>
            </w:r>
          </w:p>
        </w:tc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Klantinhoud akkoord, QA en integraties geslaagd</w:t>
            </w:r>
          </w:p>
        </w:tc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Afzonderlijke release-/deployprocedure</w:t>
            </w:r>
          </w:p>
        </w:tc>
      </w:tr>
    </w:tbl>
    <w:p>
      <w:pPr>
        <w:spacing w:after="0"/>
      </w:pPr>
    </w:p>
    <w:p>
      <w:r>
        <w:rPr>
          <w:b/>
        </w:rPr>
        <w:t>Gate 1 — Intake/Brief:</w:t>
      </w:r>
      <w:r>
        <w:t xml:space="preserve"> alle relevante vragenlijsten compleet, noodzakelijke claims onderbouwd of verwijderd, assetrechten gecontroleerd, prijs/CTA bevestigd, scope en meerwerk formeel afgebakend. Alleen Platform Admin kan vrijgeven.</w:t>
      </w:r>
    </w:p>
    <w:p>
      <w:r>
        <w:rPr>
          <w:b/>
        </w:rPr>
        <w:t>Gate A — Strategie:</w:t>
      </w:r>
      <w:r>
        <w:t xml:space="preserve"> na Gate 1 beoordeelt Westend positionering, sitemap, SEO/GEO-basis, hoofd-CTA, één actieve leadmagnet en productiescope. Een klik in de demo simuleert akkoord; in productie bestaat een aparte versieerbare strategie-output met reviewer-ID.</w:t>
      </w:r>
    </w:p>
    <w:p>
      <w:r>
        <w:rPr>
          <w:b/>
        </w:rPr>
        <w:t>Gate B — Oplevering:</w:t>
      </w:r>
      <w:r>
        <w:t xml:space="preserve"> vóór </w:t>
      </w:r>
      <w:r>
        <w:rPr>
          <w:rFonts w:ascii="Consolas" w:hAnsi="Consolas"/>
          <w:color w:val="245D7A"/>
          <w:sz w:val="16"/>
        </w:rPr>
        <w:t>ready_for_launch</w:t>
      </w:r>
      <w:r>
        <w:t xml:space="preserve"> zijn noodzakelijk: gecontroleerde copy/aanbod, geslaagde formulier- en backendketentest, correct ingestelde metingen/toestemming, toegankelijke mobiele weergave, en aantoonbaar klantakkoord. Geen van deze checks betekent dat de website automatisch wordt gepubliceerd.</w:t>
      </w:r>
    </w:p>
    <w:p>
      <w:r>
        <w:rPr>
          <w:b/>
        </w:rPr>
        <w:t>Regel versie-invalidering:</w:t>
      </w:r>
      <w:r>
        <w:t xml:space="preserve"> elke inhoudelijke wijziging aan een eerder goedgekeurd bronantwoord maakt de Project Brief opnieuw reviewplichtig. Afhankelijke strategie- en productie-vrijgaven worden ingetrokken of gericht herbeoordeeld. Herbruikbare goedgekeurde assetversies blijven traceerbaar, maar uitkomsten mogen niet stilzwijgend op een oude brief blijven steunen.</w:t>
      </w:r>
    </w:p>
    <w:p>
      <w:pPr>
        <w:pStyle w:val="Heading1"/>
      </w:pPr>
      <w:r>
        <w:t>4. De Project Brief in de reviewomgeving</w:t>
      </w:r>
    </w:p>
    <w:p>
      <w:r>
        <w:t>De UI groepeert de vier intakebronnen zonder ze te overschrijven.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cantSplit/>
          <w:tblHeader/>
        </w:trPr>
        <w:tc>
          <w:tcPr>
            <w:tcW w:type="dxa" w:w="3240"/>
            <w:vAlign w:val="center"/>
            <w:shd w:fill="E9F2F6"/>
          </w:tcPr>
          <w:p>
            <w:pPr>
              <w:spacing w:after="20" w:line="252" w:lineRule="auto"/>
            </w:pPr>
            <w:r>
              <w:rPr>
                <w:b/>
                <w:color w:val="1B4B60"/>
                <w:sz w:val="15"/>
              </w:rPr>
            </w:r>
            <w:r>
              <w:rPr>
                <w:b/>
                <w:color w:val="1B4B60"/>
                <w:sz w:val="15"/>
              </w:rPr>
              <w:t>Bron</w:t>
            </w:r>
          </w:p>
        </w:tc>
        <w:tc>
          <w:tcPr>
            <w:tcW w:type="dxa" w:w="3240"/>
            <w:vAlign w:val="center"/>
            <w:shd w:fill="E9F2F6"/>
          </w:tcPr>
          <w:p>
            <w:pPr>
              <w:spacing w:after="20" w:line="252" w:lineRule="auto"/>
            </w:pPr>
            <w:r>
              <w:rPr>
                <w:b/>
                <w:color w:val="1B4B60"/>
                <w:sz w:val="15"/>
              </w:rPr>
            </w:r>
            <w:r>
              <w:rPr>
                <w:b/>
                <w:color w:val="1B4B60"/>
                <w:sz w:val="15"/>
              </w:rPr>
              <w:t>Reviewmodule</w:t>
            </w:r>
          </w:p>
        </w:tc>
        <w:tc>
          <w:tcPr>
            <w:tcW w:type="dxa" w:w="3240"/>
            <w:vAlign w:val="center"/>
            <w:shd w:fill="E9F2F6"/>
          </w:tcPr>
          <w:p>
            <w:pPr>
              <w:spacing w:after="20" w:line="252" w:lineRule="auto"/>
            </w:pPr>
            <w:r>
              <w:rPr>
                <w:b/>
                <w:color w:val="1B4B60"/>
                <w:sz w:val="15"/>
              </w:rPr>
            </w:r>
            <w:r>
              <w:rPr>
                <w:b/>
                <w:color w:val="1B4B60"/>
                <w:sz w:val="15"/>
              </w:rPr>
              <w:t>Specifieke aandacht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Q1 Kickoff</w:t>
            </w:r>
          </w:p>
        </w:tc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Bedrijf, verhaal, expertise, positionering</w:t>
            </w:r>
          </w:p>
        </w:tc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Geen verzonnen diploma, militair verleden of resultaten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Q2 Doelgroep</w:t>
            </w:r>
          </w:p>
        </w:tc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Ideale klant, problemen, wensen, koopbezwaren</w:t>
            </w:r>
          </w:p>
        </w:tc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Onderzoek versus aanname helder labelen; geen onnodige gezondheidsgegevens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Q3 Aanbod</w:t>
            </w:r>
          </w:p>
        </w:tc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Hoofdaanbod, prijzen, CTA, opvolgkwalificatie</w:t>
            </w:r>
          </w:p>
        </w:tc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Eén primaire propositie; klant moet prijs of prijsvorm bevestigen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Q4 Branding &amp; Assets</w:t>
            </w:r>
          </w:p>
        </w:tc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Bestaande huisstijl, beeldmateriaal, domein, analytics</w:t>
            </w:r>
          </w:p>
        </w:tc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Rechten, logo, fotografie, privacy en technische toegang</w:t>
            </w:r>
          </w:p>
        </w:tc>
      </w:tr>
    </w:tbl>
    <w:p>
      <w:pPr>
        <w:spacing w:after="0"/>
      </w:pPr>
    </w:p>
    <w:p>
      <w:r>
        <w:t xml:space="preserve">Elke weergegeven waarde hoort in productie de volgende metadata te hebben: </w:t>
      </w:r>
      <w:r>
        <w:rPr>
          <w:rFonts w:ascii="Consolas" w:hAnsi="Consolas"/>
          <w:color w:val="245D7A"/>
          <w:sz w:val="16"/>
        </w:rPr>
        <w:t>field_id</w:t>
      </w:r>
      <w:r>
        <w:t xml:space="preserve">, </w:t>
      </w:r>
      <w:r>
        <w:rPr>
          <w:rFonts w:ascii="Consolas" w:hAnsi="Consolas"/>
          <w:color w:val="245D7A"/>
          <w:sz w:val="16"/>
        </w:rPr>
        <w:t>source_schema_version</w:t>
      </w:r>
      <w:r>
        <w:t xml:space="preserve">, </w:t>
      </w:r>
      <w:r>
        <w:rPr>
          <w:rFonts w:ascii="Consolas" w:hAnsi="Consolas"/>
          <w:color w:val="245D7A"/>
          <w:sz w:val="16"/>
        </w:rPr>
        <w:t>answer_version</w:t>
      </w:r>
      <w:r>
        <w:t xml:space="preserve">, </w:t>
      </w:r>
      <w:r>
        <w:rPr>
          <w:rFonts w:ascii="Consolas" w:hAnsi="Consolas"/>
          <w:color w:val="245D7A"/>
          <w:sz w:val="16"/>
        </w:rPr>
        <w:t>client_supplied_value</w:t>
      </w:r>
      <w:r>
        <w:t xml:space="preserve">, </w:t>
      </w:r>
      <w:r>
        <w:rPr>
          <w:rFonts w:ascii="Consolas" w:hAnsi="Consolas"/>
          <w:color w:val="245D7A"/>
          <w:sz w:val="16"/>
        </w:rPr>
        <w:t>last_modified_at</w:t>
      </w:r>
      <w:r>
        <w:t xml:space="preserve">, </w:t>
      </w:r>
      <w:r>
        <w:rPr>
          <w:rFonts w:ascii="Consolas" w:hAnsi="Consolas"/>
          <w:color w:val="245D7A"/>
          <w:sz w:val="16"/>
        </w:rPr>
        <w:t>verification_state</w:t>
      </w:r>
      <w:r>
        <w:t xml:space="preserve">, </w:t>
      </w:r>
      <w:r>
        <w:rPr>
          <w:rFonts w:ascii="Consolas" w:hAnsi="Consolas"/>
          <w:color w:val="245D7A"/>
          <w:sz w:val="16"/>
        </w:rPr>
        <w:t>reviewer_id</w:t>
      </w:r>
      <w:r>
        <w:t xml:space="preserve"> en waar relevant een referentie naar gecontroleerd bronmateriaal. Het veld </w:t>
      </w:r>
      <w:r>
        <w:rPr>
          <w:rFonts w:ascii="Consolas" w:hAnsi="Consolas"/>
          <w:color w:val="245D7A"/>
          <w:sz w:val="16"/>
        </w:rPr>
        <w:t>source</w:t>
      </w:r>
      <w:r>
        <w:t xml:space="preserve"> bewijst </w:t>
      </w:r>
      <w:r>
        <w:rPr>
          <w:b/>
        </w:rPr>
        <w:t>herkomst</w:t>
      </w:r>
      <w:r>
        <w:t xml:space="preserve">, niet </w:t>
      </w:r>
      <w:r>
        <w:rPr>
          <w:b/>
        </w:rPr>
        <w:t>juistheid</w:t>
      </w:r>
      <w:r>
        <w:t>.</w:t>
      </w:r>
    </w:p>
    <w:p>
      <w:r>
        <w:t xml:space="preserve">De demo biedt een download van voorbeeld-JSON om de informatiearchitectuur tastbaar te maken. Het is </w:t>
      </w:r>
      <w:r>
        <w:rPr>
          <w:b/>
        </w:rPr>
        <w:t>geen definitief API-contract</w:t>
      </w:r>
      <w:r>
        <w:t xml:space="preserve"> en gebruikt uitsluitend fictieve klanten.</w:t>
      </w:r>
    </w:p>
    <w:p>
      <w:pPr>
        <w:pStyle w:val="Heading1"/>
      </w:pPr>
      <w:r>
        <w:t>5. Meerwerk en commerciële scheiding</w:t>
      </w:r>
    </w:p>
    <w:p>
      <w:r>
        <w:t xml:space="preserve">Binnen de standaardwebsite van €999 wordt </w:t>
      </w:r>
      <w:r>
        <w:rPr>
          <w:b/>
        </w:rPr>
        <w:t>bestaande</w:t>
      </w:r>
      <w:r>
        <w:t xml:space="preserve"> branding toegepast via vaste Westend-componenten. Een nieuwe branding/brand guide, professionele fotografie, extra pagina's of ander maatwerk valt buiten die scope en vraagt afzonderlijke offerte en expliciete goedkeuring.</w:t>
      </w:r>
    </w:p>
    <w:p>
      <w:r>
        <w:t>De reviewomgeving toont signalen voor zulke wensen. In productie wordt een beslissing vastgelegd als:</w:t>
      </w:r>
    </w:p>
    <w:p>
      <w:pPr>
        <w:pStyle w:val="ListBullet"/>
        <w:spacing w:after="80"/>
      </w:pPr>
      <w:r>
        <w:rPr>
          <w:rFonts w:ascii="Consolas" w:hAnsi="Consolas"/>
          <w:color w:val="245D7A"/>
          <w:sz w:val="16"/>
        </w:rPr>
        <w:t>excluded_from_standard_scope</w:t>
      </w:r>
      <w:r>
        <w:t>: uitgesloten van huidige oplevering, apart te offreren.</w:t>
      </w:r>
    </w:p>
    <w:p>
      <w:pPr>
        <w:pStyle w:val="ListBullet"/>
        <w:spacing w:after="80"/>
      </w:pPr>
      <w:r>
        <w:rPr>
          <w:rFonts w:ascii="Consolas" w:hAnsi="Consolas"/>
          <w:color w:val="245D7A"/>
          <w:sz w:val="16"/>
        </w:rPr>
        <w:t>separately_approved_quote</w:t>
      </w:r>
      <w:r>
        <w:t>: afzonderlijke offerte aantoonbaar goedgekeurd.</w:t>
      </w:r>
    </w:p>
    <w:p>
      <w:pPr>
        <w:pStyle w:val="ListBullet"/>
        <w:spacing w:after="80"/>
      </w:pPr>
      <w:r>
        <w:rPr>
          <w:rFonts w:ascii="Consolas" w:hAnsi="Consolas"/>
          <w:color w:val="245D7A"/>
          <w:sz w:val="16"/>
        </w:rPr>
        <w:t>no_extra_scope</w:t>
      </w:r>
      <w:r>
        <w:t>: geen extra traject nodig.</w:t>
      </w:r>
    </w:p>
    <w:p>
      <w:r>
        <w:t xml:space="preserve">De reviewer mag de scopecontrole niet als 'gecontroleerd' markeren zolang een relevant meerwerkbesluit ontbreekt. Een akkoord in de klikdemo verstuurt </w:t>
      </w:r>
      <w:r>
        <w:rPr>
          <w:b/>
        </w:rPr>
        <w:t>geen</w:t>
      </w:r>
      <w:r>
        <w:t xml:space="preserve"> offerte en incasseert </w:t>
      </w:r>
      <w:r>
        <w:rPr>
          <w:b/>
        </w:rPr>
        <w:t>geen</w:t>
      </w:r>
      <w:r>
        <w:t xml:space="preserve"> betaling.</w:t>
      </w:r>
    </w:p>
    <w:p>
      <w:pPr>
        <w:pStyle w:val="Heading1"/>
      </w:pPr>
      <w:r>
        <w:t>6. Integratie met het bestaande platform</w:t>
      </w:r>
    </w:p>
    <w:p>
      <w:r>
        <w:rPr>
          <w:b/>
        </w:rPr>
        <w:t>Klantomgeving:</w:t>
      </w:r>
      <w:r>
        <w:t xml:space="preserve"> Q1–Q4 blijven de bron van antwoorden en uploads. Een </w:t>
      </w:r>
      <w:r>
        <w:rPr>
          <w:rFonts w:ascii="Consolas" w:hAnsi="Consolas"/>
          <w:color w:val="245D7A"/>
          <w:sz w:val="16"/>
        </w:rPr>
        <w:t>review_needed</w:t>
      </w:r>
      <w:r>
        <w:t>-status veroorzaakt later een gerichte aanvulvraag voor de ondernemer, zonder toegang te geven tot interne prompts of reviewbeslissingen.</w:t>
      </w:r>
    </w:p>
    <w:p>
      <w:r>
        <w:rPr>
          <w:b/>
        </w:rPr>
        <w:t>Westend-klantdetail:</w:t>
      </w:r>
      <w:r>
        <w:t xml:space="preserve"> één tenant/account; de review koppelt via </w:t>
      </w:r>
      <w:r>
        <w:rPr>
          <w:rFonts w:ascii="Consolas" w:hAnsi="Consolas"/>
          <w:color w:val="245D7A"/>
          <w:sz w:val="16"/>
        </w:rPr>
        <w:t>tenant_id</w:t>
      </w:r>
      <w:r>
        <w:t xml:space="preserve">, </w:t>
      </w:r>
      <w:r>
        <w:rPr>
          <w:rFonts w:ascii="Consolas" w:hAnsi="Consolas"/>
          <w:color w:val="245D7A"/>
          <w:sz w:val="16"/>
        </w:rPr>
        <w:t>website_id</w:t>
      </w:r>
      <w:r>
        <w:t xml:space="preserve">, </w:t>
      </w:r>
      <w:r>
        <w:rPr>
          <w:rFonts w:ascii="Consolas" w:hAnsi="Consolas"/>
          <w:color w:val="245D7A"/>
          <w:sz w:val="16"/>
        </w:rPr>
        <w:t>project_brief_id</w:t>
      </w:r>
      <w:r>
        <w:t xml:space="preserve"> en een expliciete versie.</w:t>
      </w:r>
    </w:p>
    <w:p>
      <w:r>
        <w:rPr>
          <w:b/>
        </w:rPr>
        <w:t>Websiteproductie:</w:t>
      </w:r>
      <w:r>
        <w:t xml:space="preserve"> een goedgekeurde brief en strategie vormen samen de input voor strategie/SEO/copy/design/build; de Westend Component Library is de gecontroleerde basis van secties en layouts.</w:t>
      </w:r>
    </w:p>
    <w:p>
      <w:r>
        <w:rPr>
          <w:b/>
        </w:rPr>
        <w:t>Conversion Engine:</w:t>
      </w:r>
      <w:r>
        <w:t xml:space="preserve"> formulieren, de gekozen leadmagnet, boekingsflow, AI-follow-up en tracking worden vóór livegang op staging gevalideerd.</w:t>
      </w:r>
    </w:p>
    <w:p>
      <w:r>
        <w:rPr>
          <w:b/>
        </w:rPr>
        <w:t>Monitoring:</w:t>
      </w:r>
      <w:r>
        <w:t xml:space="preserve"> na livegang worden de bekende Playwright-runs gebruikt: frontend iedere 30 minuten zonder backendverzending, volledige ketentest iedere drie dagen of indien geconfigureerd dagelijks. Synthetische tests vallen buiten AI en commerciële statistiek.</w:t>
      </w:r>
    </w:p>
    <w:p>
      <w:r>
        <w:rPr>
          <w:b/>
        </w:rPr>
        <w:t>Analytics:</w:t>
      </w:r>
      <w:r>
        <w:t xml:space="preserve"> GA4, Search Console, Clarity en DataForSEO worden in het beheer gekoppeld. Hun synchronisatie is geen voorwaarde om feitelijke klantgegevens in Q1–Q4 te verzinnen; bij ontbrekende koppeling verschijnt een expliciet reviewpunt of gecategoriseerde waarschuwing.</w:t>
      </w:r>
    </w:p>
    <w:p>
      <w:pPr>
        <w:pStyle w:val="Heading1"/>
      </w:pPr>
      <w:r>
        <w:t>7. Functionele requirements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rPr>
          <w:cantSplit/>
          <w:tblHeader/>
        </w:trPr>
        <w:tc>
          <w:tcPr>
            <w:tcW w:type="dxa" w:w="3240"/>
            <w:vAlign w:val="center"/>
            <w:shd w:fill="E9F2F6"/>
          </w:tcPr>
          <w:p>
            <w:pPr>
              <w:spacing w:after="20" w:line="252" w:lineRule="auto"/>
            </w:pPr>
            <w:r>
              <w:rPr>
                <w:b/>
                <w:color w:val="1B4B60"/>
                <w:sz w:val="15"/>
              </w:rPr>
            </w:r>
            <w:r>
              <w:rPr>
                <w:b/>
                <w:color w:val="1B4B60"/>
                <w:sz w:val="15"/>
              </w:rPr>
              <w:t>ID</w:t>
            </w:r>
          </w:p>
        </w:tc>
        <w:tc>
          <w:tcPr>
            <w:tcW w:type="dxa" w:w="3240"/>
            <w:vAlign w:val="center"/>
            <w:shd w:fill="E9F2F6"/>
          </w:tcPr>
          <w:p>
            <w:pPr>
              <w:spacing w:after="20" w:line="252" w:lineRule="auto"/>
            </w:pPr>
            <w:r>
              <w:rPr>
                <w:b/>
                <w:color w:val="1B4B60"/>
                <w:sz w:val="15"/>
              </w:rPr>
            </w:r>
            <w:r>
              <w:rPr>
                <w:b/>
                <w:color w:val="1B4B60"/>
                <w:sz w:val="15"/>
              </w:rPr>
              <w:t>Requirement</w:t>
            </w:r>
          </w:p>
        </w:tc>
        <w:tc>
          <w:tcPr>
            <w:tcW w:type="dxa" w:w="3240"/>
            <w:vAlign w:val="center"/>
            <w:shd w:fill="E9F2F6"/>
          </w:tcPr>
          <w:p>
            <w:pPr>
              <w:spacing w:after="20" w:line="252" w:lineRule="auto"/>
            </w:pPr>
            <w:r>
              <w:rPr>
                <w:b/>
                <w:color w:val="1B4B60"/>
                <w:sz w:val="15"/>
              </w:rPr>
            </w:r>
            <w:r>
              <w:rPr>
                <w:b/>
                <w:color w:val="1B4B60"/>
                <w:sz w:val="15"/>
              </w:rPr>
              <w:t>Prioriteit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RV-01</w:t>
            </w:r>
          </w:p>
        </w:tc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Alleen Westend Platform Admin ziet de reviewomgeving; server-side rol- en tenantcontrole</w:t>
            </w:r>
          </w:p>
        </w:tc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RV-02</w:t>
            </w:r>
          </w:p>
        </w:tc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Wachtrij filtert/sorteert op reviewstatus, blokkade, project en actualiteit</w:t>
            </w:r>
          </w:p>
        </w:tc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RV-03</w:t>
            </w:r>
          </w:p>
        </w:tc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Bronantwoorden Q1–Q4 tonen bronveld, schema- en versieherkomst</w:t>
            </w:r>
          </w:p>
        </w:tc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RV-04</w:t>
            </w:r>
          </w:p>
        </w:tc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Geen Gate 1 zolang relevante vragen of bewijs-/rechtencontroles ontbreken</w:t>
            </w:r>
          </w:p>
        </w:tc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RV-05</w:t>
            </w:r>
          </w:p>
        </w:tc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Reviewpunt kan gerichte aanvulvraag bevatten, zonder gemengd supportticketsysteem</w:t>
            </w:r>
          </w:p>
        </w:tc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RV-06</w:t>
            </w:r>
          </w:p>
        </w:tc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Vraag aan klant gaat via controleerbare notificatie, zonder verloren concepttekst</w:t>
            </w:r>
          </w:p>
        </w:tc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RV-07</w:t>
            </w:r>
          </w:p>
        </w:tc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Branding/fotografie/meerwerk leiden naar aparte scopebeslissing en offerteakkoord</w:t>
            </w:r>
          </w:p>
        </w:tc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RV-08</w:t>
            </w:r>
          </w:p>
        </w:tc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Gate A legt expliciet een goedgekeurde strategieversie vast</w:t>
            </w:r>
          </w:p>
        </w:tc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RV-09</w:t>
            </w:r>
          </w:p>
        </w:tc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Gate B vereist inhouds-, formulier-, tracking- en toegankelijkheids-QA plus klantakkoord</w:t>
            </w:r>
          </w:p>
        </w:tc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RV-10</w:t>
            </w:r>
          </w:p>
        </w:tc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Nieuwe intakeversie maakt verouderde downstream goedkeuring ongeldig</w:t>
            </w:r>
          </w:p>
        </w:tc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RV-11</w:t>
            </w:r>
          </w:p>
        </w:tc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Auditlog registreert actor, tenant, artefactversie, verandering, tijdstip en reden</w:t>
            </w:r>
          </w:p>
        </w:tc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RV-12</w:t>
            </w:r>
          </w:p>
        </w:tc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Handmatige controles zijn niet automatisch 'geverifieerd' door AI</w:t>
            </w:r>
          </w:p>
        </w:tc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RV-13</w:t>
            </w:r>
          </w:p>
        </w:tc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Export is beperkt tot geautoriseerde tenant en bevat geen secrets</w:t>
            </w:r>
          </w:p>
        </w:tc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RV-14</w:t>
            </w:r>
          </w:p>
        </w:tc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Responsive op desktop, 390px en 320px zonder horizontale overflow</w:t>
            </w:r>
          </w:p>
        </w:tc>
        <w:tc>
          <w:tcPr>
            <w:tcW w:type="dxa" w:w="324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RV-15</w:t>
            </w:r>
          </w:p>
        </w:tc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Klantportaal toont begrijpelijke voortgang, niet interne risk-score of agentprompts</w:t>
            </w:r>
          </w:p>
        </w:tc>
        <w:tc>
          <w:tcPr>
            <w:tcW w:type="dxa" w:w="324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P1</w:t>
            </w:r>
          </w:p>
        </w:tc>
      </w:tr>
    </w:tbl>
    <w:p>
      <w:pPr>
        <w:spacing w:after="0"/>
      </w:pPr>
    </w:p>
    <w:p>
      <w:pPr>
        <w:pStyle w:val="Heading1"/>
      </w:pPr>
      <w:r>
        <w:t>8. Acceptatiecriteria / QA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60"/>
        <w:gridCol w:w="4860"/>
      </w:tblGrid>
      <w:tr>
        <w:trPr>
          <w:cantSplit/>
          <w:tblHeader/>
        </w:trPr>
        <w:tc>
          <w:tcPr>
            <w:tcW w:type="dxa" w:w="4860"/>
            <w:vAlign w:val="center"/>
            <w:shd w:fill="E9F2F6"/>
          </w:tcPr>
          <w:p>
            <w:pPr>
              <w:spacing w:after="20" w:line="252" w:lineRule="auto"/>
            </w:pPr>
            <w:r>
              <w:rPr>
                <w:b/>
                <w:color w:val="1B4B60"/>
                <w:sz w:val="15"/>
              </w:rPr>
            </w:r>
            <w:r>
              <w:rPr>
                <w:b/>
                <w:color w:val="1B4B60"/>
                <w:sz w:val="15"/>
              </w:rPr>
              <w:t>Test</w:t>
            </w:r>
          </w:p>
        </w:tc>
        <w:tc>
          <w:tcPr>
            <w:tcW w:type="dxa" w:w="4860"/>
            <w:vAlign w:val="center"/>
            <w:shd w:fill="E9F2F6"/>
          </w:tcPr>
          <w:p>
            <w:pPr>
              <w:spacing w:after="20" w:line="252" w:lineRule="auto"/>
            </w:pPr>
            <w:r>
              <w:rPr>
                <w:b/>
                <w:color w:val="1B4B60"/>
                <w:sz w:val="15"/>
              </w:rPr>
            </w:r>
            <w:r>
              <w:rPr>
                <w:b/>
                <w:color w:val="1B4B60"/>
                <w:sz w:val="15"/>
              </w:rPr>
              <w:t>Verwacht resultaat</w:t>
            </w:r>
          </w:p>
        </w:tc>
      </w:tr>
      <w:tr>
        <w:trPr>
          <w:cantSplit/>
        </w:trPr>
        <w:tc>
          <w:tcPr>
            <w:tcW w:type="dxa" w:w="486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Onvolledige Q4</w:t>
            </w:r>
          </w:p>
        </w:tc>
        <w:tc>
          <w:tcPr>
            <w:tcW w:type="dxa" w:w="486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Gate 1 blijft disabled, alleen gerichte aanvulactie beschikbaar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Alle Q compleet, rechten onbevestigd</w:t>
            </w:r>
          </w:p>
        </w:tc>
        <w:tc>
          <w:tcPr>
            <w:tcW w:type="dxa" w:w="486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Gate 1 blijft geblokkeerd</w:t>
            </w:r>
          </w:p>
        </w:tc>
      </w:tr>
      <w:tr>
        <w:trPr>
          <w:cantSplit/>
        </w:trPr>
        <w:tc>
          <w:tcPr>
            <w:tcW w:type="dxa" w:w="486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Meerwerk gevraagd, scopebesluit ontbreekt</w:t>
            </w:r>
          </w:p>
        </w:tc>
        <w:tc>
          <w:tcPr>
            <w:tcW w:type="dxa" w:w="486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Scopecontrole kan niet worden afgesloten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Alle intake- en verificatiecontroles afgevinkt</w:t>
            </w:r>
          </w:p>
        </w:tc>
        <w:tc>
          <w:tcPr>
            <w:tcW w:type="dxa" w:w="486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Gate 1 kan expliciet door Westend worden goedgekeurd</w:t>
            </w:r>
          </w:p>
        </w:tc>
      </w:tr>
      <w:tr>
        <w:trPr>
          <w:cantSplit/>
        </w:trPr>
        <w:tc>
          <w:tcPr>
            <w:tcW w:type="dxa" w:w="486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Gate 1 ontbreekt</w:t>
            </w:r>
          </w:p>
        </w:tc>
        <w:tc>
          <w:tcPr>
            <w:tcW w:type="dxa" w:w="486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Gate A blijft geblokkeerd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Gate A geaccordeerd</w:t>
            </w:r>
          </w:p>
        </w:tc>
        <w:tc>
          <w:tcPr>
            <w:tcW w:type="dxa" w:w="486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Productie kan gecontroleerd naar staging/QA</w:t>
            </w:r>
          </w:p>
        </w:tc>
      </w:tr>
      <w:tr>
        <w:trPr>
          <w:cantSplit/>
        </w:trPr>
        <w:tc>
          <w:tcPr>
            <w:tcW w:type="dxa" w:w="486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QA- of klantakkoord ontbreekt</w:t>
            </w:r>
          </w:p>
        </w:tc>
        <w:tc>
          <w:tcPr>
            <w:tcW w:type="dxa" w:w="486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Geen live-gereedmelding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Bronantwoord wijzigt na goedkeuring</w:t>
            </w:r>
          </w:p>
        </w:tc>
        <w:tc>
          <w:tcPr>
            <w:tcW w:type="dxa" w:w="486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Intrek/vernieuw de eerdere brief-, strategie- en QA-approvals</w:t>
            </w:r>
          </w:p>
        </w:tc>
      </w:tr>
      <w:tr>
        <w:trPr>
          <w:cantSplit/>
        </w:trPr>
        <w:tc>
          <w:tcPr>
            <w:tcW w:type="dxa" w:w="486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Actie in prototype</w:t>
            </w:r>
          </w:p>
        </w:tc>
        <w:tc>
          <w:tcPr>
            <w:tcW w:type="dxa" w:w="486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Geen echte e-mail, AI-uitvoering, facturatie of deployment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Bezoeker/Team Member benadert review API</w:t>
            </w:r>
          </w:p>
        </w:tc>
        <w:tc>
          <w:tcPr>
            <w:tcW w:type="dxa" w:w="486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Productie-API weigert toegang ondanks gemanipuleerde requests</w:t>
            </w:r>
          </w:p>
        </w:tc>
      </w:tr>
      <w:tr>
        <w:trPr>
          <w:cantSplit/>
        </w:trPr>
        <w:tc>
          <w:tcPr>
            <w:tcW w:type="dxa" w:w="486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Mobiele breedtes 390 en 320 px</w:t>
            </w:r>
          </w:p>
        </w:tc>
        <w:tc>
          <w:tcPr>
            <w:tcW w:type="dxa" w:w="4860"/>
            <w:vAlign w:val="center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Leesbare kaarten, bruikbare acties, geen documentoverflow</w:t>
            </w:r>
          </w:p>
        </w:tc>
      </w:tr>
      <w:tr>
        <w:trPr>
          <w:cantSplit/>
        </w:trPr>
        <w:tc>
          <w:tcPr>
            <w:tcW w:type="dxa" w:w="486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Project Brief-export</w:t>
            </w:r>
          </w:p>
        </w:tc>
        <w:tc>
          <w:tcPr>
            <w:tcW w:type="dxa" w:w="4860"/>
            <w:vAlign w:val="center"/>
            <w:shd w:fill="F8FAFB"/>
          </w:tcPr>
          <w:p>
            <w:pPr>
              <w:spacing w:after="20" w:line="252" w:lineRule="auto"/>
            </w:pPr>
            <w:r>
              <w:rPr>
                <w:sz w:val="15"/>
              </w:rPr>
            </w:r>
            <w:r>
              <w:rPr>
                <w:sz w:val="15"/>
              </w:rPr>
              <w:t>JSON bevat bronindicaties en demostatus; geen echte persoonsgegevens/secrets</w:t>
            </w:r>
          </w:p>
        </w:tc>
      </w:tr>
    </w:tbl>
    <w:p>
      <w:pPr>
        <w:spacing w:after="0"/>
      </w:pPr>
    </w:p>
    <w:p>
      <w:pPr>
        <w:pStyle w:val="Heading1"/>
      </w:pPr>
      <w:r>
        <w:t>9. Prototype: wat is echt interactief?</w:t>
      </w:r>
    </w:p>
    <w:p>
      <w:r>
        <w:t xml:space="preserve">Het HTML-prototype is samengevoegd met de eerdere admin-demo v0.2. De volgende acties werken lokaal </w:t>
      </w:r>
      <w:r>
        <w:rPr>
          <w:b/>
        </w:rPr>
        <w:t>zonder serververbinding</w:t>
      </w:r>
      <w:r>
        <w:t>:</w:t>
      </w:r>
    </w:p>
    <w:p>
      <w:pPr>
        <w:pStyle w:val="ListBullet"/>
        <w:spacing w:after="80"/>
      </w:pPr>
      <w:r>
        <w:t>Klant uit wachtrij selecteren; Q1–Q4-bronvelden bekijken.</w:t>
      </w:r>
    </w:p>
    <w:p>
      <w:pPr>
        <w:pStyle w:val="ListBullet"/>
        <w:spacing w:after="80"/>
      </w:pPr>
      <w:r>
        <w:t>Reviewcontroles markeren; openstaande blokkades houden goedkeuring tegen.</w:t>
      </w:r>
    </w:p>
    <w:p>
      <w:pPr>
        <w:pStyle w:val="ListBullet"/>
        <w:spacing w:after="80"/>
      </w:pPr>
      <w:r>
        <w:t>Meerwerk als buiten scope zetten of een offerteakkoord simuleren.</w:t>
      </w:r>
    </w:p>
    <w:p>
      <w:pPr>
        <w:pStyle w:val="ListBullet"/>
        <w:spacing w:after="80"/>
      </w:pPr>
      <w:r>
        <w:t>Aanvultekst vastleggen en een *fictief* verzoek simuleren.</w:t>
      </w:r>
    </w:p>
    <w:p>
      <w:pPr>
        <w:pStyle w:val="ListBullet"/>
        <w:spacing w:after="80"/>
      </w:pPr>
      <w:r>
        <w:t>Brief goedkeuren, strategie vrijgeven, staging en QA simuleren.</w:t>
      </w:r>
    </w:p>
    <w:p>
      <w:pPr>
        <w:pStyle w:val="ListBullet"/>
        <w:spacing w:after="80"/>
      </w:pPr>
      <w:r>
        <w:t>QA-checks en klantinhoudakkoord aanvinken; klaar-voor-live-status testen.</w:t>
      </w:r>
    </w:p>
    <w:p>
      <w:pPr>
        <w:pStyle w:val="ListBullet"/>
        <w:spacing w:after="80"/>
      </w:pPr>
      <w:r>
        <w:t>Versie-invalidering simuleren, gebeurtenishistorie bekijken en voorbeeld-JSON downloaden.</w:t>
      </w:r>
    </w:p>
    <w:p>
      <w:pPr>
        <w:pStyle w:val="ListBullet"/>
        <w:spacing w:after="80"/>
      </w:pPr>
      <w:r>
        <w:t>Terug navigeren naar Operations, Onboarding, Monitoring en Website Intelligence.</w:t>
      </w:r>
    </w:p>
    <w:p>
      <w:r>
        <w:rPr>
          <w:b/>
        </w:rPr>
        <w:t>Prototypebeperking:</w:t>
      </w:r>
      <w:r>
        <w:t xml:space="preserve"> de klikinvoer staat uitsluitend in tijdelijke JavaScript-geheugenstate. Reload zet alles terug naar fictieve beginwaarden; geen backend, database, externe communicatie of actualiteit. Browserchecks testen alleen UI-gedrag, geen serverbeveiliging.</w:t>
      </w:r>
    </w:p>
    <w:p>
      <w:pPr>
        <w:pStyle w:val="Heading1"/>
      </w:pPr>
      <w:r>
        <w:t>10. Nog te beslissen in Fase 4/5</w:t>
      </w:r>
    </w:p>
    <w:p>
      <w:r>
        <w:t>Dataopslag en versiecontrole (optimistic concurrency), persistent workflowmodel, bewijsdocumenten en privé-assets, auth/RBAC, notificatievoorziening, waarheidsbron en projectschema's, deploymentpipeline, AI-providerorkestratie, idempotente events en auditretentie. Een technische implementatie moet ook voorkomen dat een normale gebruiker via API-calls goedkeuringen kan manipuleren.</w:t>
      </w:r>
    </w:p>
    <w:p>
      <w:pPr>
        <w:pStyle w:val="Heading3"/>
      </w:pPr>
      <w:r>
        <w:t>Productiemetrieken tijdens de eerste vijf pilots</w:t>
      </w:r>
    </w:p>
    <w:p>
      <w:r>
        <w:t xml:space="preserve">Meet actieve Westend-reviewtijd, aantal teruggestuurde Q1–Q4-velden, herhaalrondes, frequentie van meerwerk, outputcorrecties na AI, staging-naar-live tijd en het percentage projecten dat Gate A/Gate B in één keer doorloopt. Het interne doel van maximaal drie uur actieve standaardwebsitebouw blijft een </w:t>
      </w:r>
      <w:r>
        <w:rPr>
          <w:b/>
        </w:rPr>
        <w:t>te toetsen operationele doelstelling</w:t>
      </w:r>
      <w:r>
        <w:t>, geen garantie.</w:t>
      </w:r>
    </w:p>
    <w:p>
      <w:r>
        <w:rPr>
          <w:b/>
        </w:rPr>
        <w:t>Conclusie:</w:t>
      </w:r>
      <w:r>
        <w:t xml:space="preserve"> met deze module is de volledige onboarding-naar-productieflow in Fase 3 als UX te beoordelen. De volgende stap is de integrale review van klantomgeving, Westend-beheeromgeving en onboarding, vóór technische architectuur (Fase 4).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67" w:right="1224" w:bottom="1080" w:left="1296" w:header="518" w:footer="47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58A93"/>
        <w:sz w:val="14"/>
      </w:rPr>
      <w:t xml:space="preserve">FUNCTIONELE UX-SPECIFICATIE  ·  V0.3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Label"/>
      <w:pBdr>
        <w:bottom w:val="single" w:sz="7" w:color="CBDCE2"/>
      </w:pBdr>
    </w:pPr>
    <w:r>
      <w:t>WESTEND DIGITAL    /    CONVERSION ENGINE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283A4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43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435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435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8435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 Label"/>
    <w:pPr>
      <w:spacing w:after="120"/>
    </w:pPr>
    <w:rPr>
      <w:rFonts w:ascii="Aptos" w:hAnsi="Aptos"/>
      <w:color w:val="6A8391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Westend Digital — Reviewomgeving Project Brief v0.3</dc:title>
  <dc:subject/>
  <dc:creator>Westend Digital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