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P10 PACE+W Second-Coder Comparison and Codebook Refinement</w:t>
      </w:r>
    </w:p>
    <w:p>
      <w:pPr>
        <w:jc w:val="center"/>
      </w:pPr>
      <w:r>
        <w:rPr>
          <w:b/>
        </w:rPr>
        <w:t>First Coder: Yankun Yang  |  Second Coder: Benxuan Wang</w:t>
        <w:br/>
      </w:r>
      <w:r>
        <w:t>Participant Sample: P10  |  Method: Deductive PACE+W Experience Coding</w:t>
      </w:r>
    </w:p>
    <w:p>
      <w:pPr>
        <w:pStyle w:val="Heading1"/>
      </w:pPr>
      <w:r>
        <w:t>1. Purpose</w:t>
      </w:r>
    </w:p>
    <w:p>
      <w:r>
        <w:t>This document records the second-coder check for Participant P10. Benxuan Wang independently coded 15 selected P10 excerpts using the shared PACE+W framework. The results are compared with Yankun Yang's existing NVivo coding to identify agreement, partial agreement, and excerpt-selection differences. The comparison is then used to clarify the working code definitions before continuing interpretation.</w:t>
      </w:r>
    </w:p>
    <w:p>
      <w:pPr>
        <w:pStyle w:val="Heading1"/>
      </w:pPr>
      <w:r>
        <w:t>2. PACE+W Codebook Used for the Review</w:t>
      </w:r>
    </w:p>
    <w:tbl>
      <w:tblPr>
        <w:tblStyle w:val="TableGrid"/>
        <w:tblW w:type="auto" w:w="0"/>
        <w:jc w:val="center"/>
        <w:tblLook w:firstColumn="1" w:firstRow="1" w:lastColumn="0" w:lastRow="0" w:noHBand="0" w:noVBand="1" w:val="04A0"/>
      </w:tblPr>
      <w:tblGrid>
        <w:gridCol w:w="5184"/>
        <w:gridCol w:w="5184"/>
      </w:tblGrid>
      <w:tr>
        <w:trPr>
          <w:tblHeader w:val="true"/>
        </w:trPr>
        <w:tc>
          <w:tcPr>
            <w:tcW w:type="dxa" w:w="5184"/>
            <w:vAlign w:val="top"/>
          </w:tcPr>
          <w:p>
            <w:pPr>
              <w:spacing w:after="20" w:before="0"/>
            </w:pPr>
            <w:r>
              <w:rPr>
                <w:b/>
              </w:rPr>
              <w:t>Code</w:t>
            </w:r>
          </w:p>
        </w:tc>
        <w:tc>
          <w:tcPr>
            <w:tcW w:type="dxa" w:w="5184"/>
            <w:vAlign w:val="top"/>
          </w:tcPr>
          <w:p>
            <w:pPr>
              <w:spacing w:after="20" w:before="0"/>
            </w:pPr>
            <w:r>
              <w:rPr>
                <w:b/>
              </w:rPr>
              <w:t>Working Definition</w:t>
            </w:r>
          </w:p>
        </w:tc>
      </w:tr>
      <w:tr>
        <w:tc>
          <w:tcPr>
            <w:tcW w:type="dxa" w:w="5184"/>
            <w:vAlign w:val="top"/>
          </w:tcPr>
          <w:p>
            <w:pPr>
              <w:spacing w:after="20" w:before="0"/>
            </w:pPr>
            <w:r>
              <w:t>Perception</w:t>
            </w:r>
          </w:p>
        </w:tc>
        <w:tc>
          <w:tcPr>
            <w:tcW w:type="dxa" w:w="5184"/>
            <w:vAlign w:val="top"/>
          </w:tcPr>
          <w:p>
            <w:pPr>
              <w:spacing w:after="20" w:before="0"/>
            </w:pPr>
            <w:r>
              <w:t>Taking in, noticing, or decoding information; what information the participant attends to or needs to see.</w:t>
            </w:r>
          </w:p>
        </w:tc>
      </w:tr>
      <w:tr>
        <w:tc>
          <w:tcPr>
            <w:tcW w:type="dxa" w:w="5184"/>
            <w:vAlign w:val="top"/>
          </w:tcPr>
          <w:p>
            <w:pPr>
              <w:spacing w:after="20" w:before="0"/>
            </w:pPr>
            <w:r>
              <w:t>Action</w:t>
            </w:r>
          </w:p>
        </w:tc>
        <w:tc>
          <w:tcPr>
            <w:tcW w:type="dxa" w:w="5184"/>
            <w:vAlign w:val="top"/>
          </w:tcPr>
          <w:p>
            <w:pPr>
              <w:spacing w:after="20" w:before="0"/>
            </w:pPr>
            <w:r>
              <w:t>What the participant does, intends to do, or proposes doing/interacting with.</w:t>
            </w:r>
          </w:p>
        </w:tc>
      </w:tr>
      <w:tr>
        <w:tc>
          <w:tcPr>
            <w:tcW w:type="dxa" w:w="5184"/>
            <w:vAlign w:val="top"/>
          </w:tcPr>
          <w:p>
            <w:pPr>
              <w:spacing w:after="20" w:before="0"/>
            </w:pPr>
            <w:r>
              <w:t>Cognition</w:t>
            </w:r>
          </w:p>
        </w:tc>
        <w:tc>
          <w:tcPr>
            <w:tcW w:type="dxa" w:w="5184"/>
            <w:vAlign w:val="top"/>
          </w:tcPr>
          <w:p>
            <w:pPr>
              <w:spacing w:after="20" w:before="0"/>
            </w:pPr>
            <w:r>
              <w:t>Attention, understanding, reasoning, comparison, expectations, decision rules, trade-offs, and deciding.</w:t>
            </w:r>
          </w:p>
        </w:tc>
      </w:tr>
      <w:tr>
        <w:tc>
          <w:tcPr>
            <w:tcW w:type="dxa" w:w="5184"/>
            <w:vAlign w:val="top"/>
          </w:tcPr>
          <w:p>
            <w:pPr>
              <w:spacing w:after="20" w:before="0"/>
            </w:pPr>
            <w:r>
              <w:t>Emotion</w:t>
            </w:r>
          </w:p>
        </w:tc>
        <w:tc>
          <w:tcPr>
            <w:tcW w:type="dxa" w:w="5184"/>
            <w:vAlign w:val="top"/>
          </w:tcPr>
          <w:p>
            <w:pPr>
              <w:spacing w:after="20" w:before="0"/>
            </w:pPr>
            <w:r>
              <w:t>A felt response in the moment, such as frustration, worry, nervousness, relief, confidence, or stress.</w:t>
            </w:r>
          </w:p>
        </w:tc>
      </w:tr>
      <w:tr>
        <w:tc>
          <w:tcPr>
            <w:tcW w:type="dxa" w:w="5184"/>
            <w:vAlign w:val="top"/>
          </w:tcPr>
          <w:p>
            <w:pPr>
              <w:spacing w:after="20" w:before="0"/>
            </w:pPr>
            <w:r>
              <w:t>Wellbeing</w:t>
            </w:r>
          </w:p>
        </w:tc>
        <w:tc>
          <w:tcPr>
            <w:tcW w:type="dxa" w:w="5184"/>
            <w:vAlign w:val="top"/>
          </w:tcPr>
          <w:p>
            <w:pPr>
              <w:spacing w:after="20" w:before="0"/>
            </w:pPr>
            <w:r>
              <w:t>Pleasure/comfort/ease or functioning well through autonomy, competence, relatedness, meaning, or growth.</w:t>
            </w:r>
          </w:p>
        </w:tc>
      </w:tr>
      <w:tr>
        <w:tc>
          <w:tcPr>
            <w:tcW w:type="dxa" w:w="5184"/>
            <w:vAlign w:val="top"/>
          </w:tcPr>
          <w:p>
            <w:pPr>
              <w:spacing w:after="20" w:before="0"/>
            </w:pPr>
            <w:r>
              <w:t>Does not fit the framework</w:t>
            </w:r>
          </w:p>
        </w:tc>
        <w:tc>
          <w:tcPr>
            <w:tcW w:type="dxa" w:w="5184"/>
            <w:vAlign w:val="top"/>
          </w:tcPr>
          <w:p>
            <w:pPr>
              <w:spacing w:after="20" w:before="0"/>
            </w:pPr>
            <w:r>
              <w:t>Relevant evidence that does not meaningfully fit the PACE+W dimensions.</w:t>
            </w:r>
          </w:p>
        </w:tc>
      </w:tr>
    </w:tbl>
    <w:p>
      <w:pPr>
        <w:pStyle w:val="Heading1"/>
      </w:pPr>
      <w:r>
        <w:t>3. Benxuan Wang - Independent Coding Record</w:t>
      </w:r>
    </w:p>
    <w:tbl>
      <w:tblPr>
        <w:tblStyle w:val="TableGrid"/>
        <w:tblW w:type="auto" w:w="0"/>
        <w:jc w:val="center"/>
        <w:tblLook w:firstColumn="1" w:firstRow="1" w:lastColumn="0" w:lastRow="0" w:noHBand="0" w:noVBand="1" w:val="04A0"/>
      </w:tblPr>
      <w:tblGrid>
        <w:gridCol w:w="2592"/>
        <w:gridCol w:w="2592"/>
        <w:gridCol w:w="2592"/>
        <w:gridCol w:w="2592"/>
      </w:tblGrid>
      <w:tr>
        <w:trPr>
          <w:tblHeader w:val="true"/>
        </w:trPr>
        <w:tc>
          <w:tcPr>
            <w:tcW w:type="dxa" w:w="2592"/>
            <w:vAlign w:val="top"/>
          </w:tcPr>
          <w:p>
            <w:pPr>
              <w:spacing w:after="20" w:before="0"/>
            </w:pPr>
            <w:r>
              <w:rPr>
                <w:b/>
              </w:rPr>
              <w:t>No.</w:t>
            </w:r>
          </w:p>
        </w:tc>
        <w:tc>
          <w:tcPr>
            <w:tcW w:type="dxa" w:w="2592"/>
            <w:vAlign w:val="top"/>
          </w:tcPr>
          <w:p>
            <w:pPr>
              <w:spacing w:after="20" w:before="0"/>
            </w:pPr>
            <w:r>
              <w:rPr>
                <w:b/>
              </w:rPr>
              <w:t>Excerpt / Meaning</w:t>
            </w:r>
          </w:p>
        </w:tc>
        <w:tc>
          <w:tcPr>
            <w:tcW w:type="dxa" w:w="2592"/>
            <w:vAlign w:val="top"/>
          </w:tcPr>
          <w:p>
            <w:pPr>
              <w:spacing w:after="20" w:before="0"/>
            </w:pPr>
            <w:r>
              <w:rPr>
                <w:b/>
              </w:rPr>
              <w:t>Benxuan Code(s)</w:t>
            </w:r>
          </w:p>
        </w:tc>
        <w:tc>
          <w:tcPr>
            <w:tcW w:type="dxa" w:w="2592"/>
            <w:vAlign w:val="top"/>
          </w:tcPr>
          <w:p>
            <w:pPr>
              <w:spacing w:after="20" w:before="0"/>
            </w:pPr>
            <w:r>
              <w:rPr>
                <w:b/>
              </w:rPr>
              <w:t>Brief Reason</w:t>
            </w:r>
          </w:p>
        </w:tc>
      </w:tr>
      <w:tr>
        <w:tc>
          <w:tcPr>
            <w:tcW w:type="dxa" w:w="2592"/>
            <w:vAlign w:val="top"/>
          </w:tcPr>
          <w:p>
            <w:pPr>
              <w:spacing w:after="20" w:before="0"/>
            </w:pPr>
            <w:r>
              <w:t>1</w:t>
            </w:r>
          </w:p>
        </w:tc>
        <w:tc>
          <w:tcPr>
            <w:tcW w:type="dxa" w:w="2592"/>
            <w:vAlign w:val="top"/>
          </w:tcPr>
          <w:p>
            <w:pPr>
              <w:spacing w:after="20" w:before="0"/>
            </w:pPr>
            <w:r>
              <w:t>Support should appear only when the passenger is likely to be late for the next appointment.</w:t>
            </w:r>
          </w:p>
        </w:tc>
        <w:tc>
          <w:tcPr>
            <w:tcW w:type="dxa" w:w="2592"/>
            <w:vAlign w:val="top"/>
          </w:tcPr>
          <w:p>
            <w:pPr>
              <w:spacing w:after="20" w:before="0"/>
            </w:pPr>
            <w:r>
              <w:t>Action + Cognition</w:t>
            </w:r>
          </w:p>
        </w:tc>
        <w:tc>
          <w:tcPr>
            <w:tcW w:type="dxa" w:w="2592"/>
            <w:vAlign w:val="top"/>
          </w:tcPr>
          <w:p>
            <w:pPr>
              <w:spacing w:after="20" w:before="0"/>
            </w:pPr>
            <w:r>
              <w:t>The participant links the support to a future travel consequence and to when intervention should occur.</w:t>
            </w:r>
          </w:p>
        </w:tc>
      </w:tr>
      <w:tr>
        <w:tc>
          <w:tcPr>
            <w:tcW w:type="dxa" w:w="2592"/>
            <w:vAlign w:val="top"/>
          </w:tcPr>
          <w:p>
            <w:pPr>
              <w:spacing w:after="20" w:before="0"/>
            </w:pPr>
            <w:r>
              <w:t>2</w:t>
            </w:r>
          </w:p>
        </w:tc>
        <w:tc>
          <w:tcPr>
            <w:tcW w:type="dxa" w:w="2592"/>
            <w:vAlign w:val="top"/>
          </w:tcPr>
          <w:p>
            <w:pPr>
              <w:spacing w:after="20" w:before="0"/>
            </w:pPr>
            <w:r>
              <w:t>Available alternatives and the pros and cons of each option.</w:t>
            </w:r>
          </w:p>
        </w:tc>
        <w:tc>
          <w:tcPr>
            <w:tcW w:type="dxa" w:w="2592"/>
            <w:vAlign w:val="top"/>
          </w:tcPr>
          <w:p>
            <w:pPr>
              <w:spacing w:after="20" w:before="0"/>
            </w:pPr>
            <w:r>
              <w:t>Perception + Cognition</w:t>
            </w:r>
          </w:p>
        </w:tc>
        <w:tc>
          <w:tcPr>
            <w:tcW w:type="dxa" w:w="2592"/>
            <w:vAlign w:val="top"/>
          </w:tcPr>
          <w:p>
            <w:pPr>
              <w:spacing w:after="20" w:before="0"/>
            </w:pPr>
            <w:r>
              <w:t>The participant needs to receive option information and compare its advantages and disadvantages.</w:t>
            </w:r>
          </w:p>
        </w:tc>
      </w:tr>
      <w:tr>
        <w:tc>
          <w:tcPr>
            <w:tcW w:type="dxa" w:w="2592"/>
            <w:vAlign w:val="top"/>
          </w:tcPr>
          <w:p>
            <w:pPr>
              <w:spacing w:after="20" w:before="0"/>
            </w:pPr>
            <w:r>
              <w:t>3</w:t>
            </w:r>
          </w:p>
        </w:tc>
        <w:tc>
          <w:tcPr>
            <w:tcW w:type="dxa" w:w="2592"/>
            <w:vAlign w:val="top"/>
          </w:tcPr>
          <w:p>
            <w:pPr>
              <w:spacing w:after="20" w:before="0"/>
            </w:pPr>
            <w:r>
              <w:t>Estimated delay and the consequences of that delay.</w:t>
            </w:r>
          </w:p>
        </w:tc>
        <w:tc>
          <w:tcPr>
            <w:tcW w:type="dxa" w:w="2592"/>
            <w:vAlign w:val="top"/>
          </w:tcPr>
          <w:p>
            <w:pPr>
              <w:spacing w:after="20" w:before="0"/>
            </w:pPr>
            <w:r>
              <w:t>Perception</w:t>
            </w:r>
          </w:p>
        </w:tc>
        <w:tc>
          <w:tcPr>
            <w:tcW w:type="dxa" w:w="2592"/>
            <w:vAlign w:val="top"/>
          </w:tcPr>
          <w:p>
            <w:pPr>
              <w:spacing w:after="20" w:before="0"/>
            </w:pPr>
            <w:r>
              <w:t>The emphasis is on disruption information that the participant needs to receive.</w:t>
            </w:r>
          </w:p>
        </w:tc>
      </w:tr>
      <w:tr>
        <w:tc>
          <w:tcPr>
            <w:tcW w:type="dxa" w:w="2592"/>
            <w:vAlign w:val="top"/>
          </w:tcPr>
          <w:p>
            <w:pPr>
              <w:spacing w:after="20" w:before="0"/>
            </w:pPr>
            <w:r>
              <w:t>4</w:t>
            </w:r>
          </w:p>
        </w:tc>
        <w:tc>
          <w:tcPr>
            <w:tcW w:type="dxa" w:w="2592"/>
            <w:vAlign w:val="top"/>
          </w:tcPr>
          <w:p>
            <w:pPr>
              <w:spacing w:after="20" w:before="0"/>
            </w:pPr>
            <w:r>
              <w:t>Missing the final bus changes the significance of the disruption.</w:t>
            </w:r>
          </w:p>
        </w:tc>
        <w:tc>
          <w:tcPr>
            <w:tcW w:type="dxa" w:w="2592"/>
            <w:vAlign w:val="top"/>
          </w:tcPr>
          <w:p>
            <w:pPr>
              <w:spacing w:after="20" w:before="0"/>
            </w:pPr>
            <w:r>
              <w:t>Cognition</w:t>
            </w:r>
          </w:p>
        </w:tc>
        <w:tc>
          <w:tcPr>
            <w:tcW w:type="dxa" w:w="2592"/>
            <w:vAlign w:val="top"/>
          </w:tcPr>
          <w:p>
            <w:pPr>
              <w:spacing w:after="20" w:before="0"/>
            </w:pPr>
            <w:r>
              <w:t>The participant reasons about the downstream consequence of the disruption.</w:t>
            </w:r>
          </w:p>
        </w:tc>
      </w:tr>
      <w:tr>
        <w:tc>
          <w:tcPr>
            <w:tcW w:type="dxa" w:w="2592"/>
            <w:vAlign w:val="top"/>
          </w:tcPr>
          <w:p>
            <w:pPr>
              <w:spacing w:after="20" w:before="0"/>
            </w:pPr>
            <w:r>
              <w:t>5</w:t>
            </w:r>
          </w:p>
        </w:tc>
        <w:tc>
          <w:tcPr>
            <w:tcW w:type="dxa" w:w="2592"/>
            <w:vAlign w:val="top"/>
          </w:tcPr>
          <w:p>
            <w:pPr>
              <w:spacing w:after="20" w:before="0"/>
            </w:pPr>
            <w:r>
              <w:t>If the current journey still works, do not change; otherwise consider the available options.</w:t>
            </w:r>
          </w:p>
        </w:tc>
        <w:tc>
          <w:tcPr>
            <w:tcW w:type="dxa" w:w="2592"/>
            <w:vAlign w:val="top"/>
          </w:tcPr>
          <w:p>
            <w:pPr>
              <w:spacing w:after="20" w:before="0"/>
            </w:pPr>
            <w:r>
              <w:t>Perception + Cognition</w:t>
            </w:r>
          </w:p>
        </w:tc>
        <w:tc>
          <w:tcPr>
            <w:tcW w:type="dxa" w:w="2592"/>
            <w:vAlign w:val="top"/>
          </w:tcPr>
          <w:p>
            <w:pPr>
              <w:spacing w:after="20" w:before="0"/>
            </w:pPr>
            <w:r>
              <w:t>The participant evaluates whether change is necessary and then considers information about alternatives.</w:t>
            </w:r>
          </w:p>
        </w:tc>
      </w:tr>
      <w:tr>
        <w:tc>
          <w:tcPr>
            <w:tcW w:type="dxa" w:w="2592"/>
            <w:vAlign w:val="top"/>
          </w:tcPr>
          <w:p>
            <w:pPr>
              <w:spacing w:after="20" w:before="0"/>
            </w:pPr>
            <w:r>
              <w:t>6</w:t>
            </w:r>
          </w:p>
        </w:tc>
        <w:tc>
          <w:tcPr>
            <w:tcW w:type="dxa" w:w="2592"/>
            <w:vAlign w:val="top"/>
          </w:tcPr>
          <w:p>
            <w:pPr>
              <w:spacing w:after="20" w:before="0"/>
            </w:pPr>
            <w:r>
              <w:t>One leg versus two transfers and estimated time of arrival.</w:t>
            </w:r>
          </w:p>
        </w:tc>
        <w:tc>
          <w:tcPr>
            <w:tcW w:type="dxa" w:w="2592"/>
            <w:vAlign w:val="top"/>
          </w:tcPr>
          <w:p>
            <w:pPr>
              <w:spacing w:after="20" w:before="0"/>
            </w:pPr>
            <w:r>
              <w:t>Does not fit the framework</w:t>
            </w:r>
          </w:p>
        </w:tc>
        <w:tc>
          <w:tcPr>
            <w:tcW w:type="dxa" w:w="2592"/>
            <w:vAlign w:val="top"/>
          </w:tcPr>
          <w:p>
            <w:pPr>
              <w:spacing w:after="20" w:before="0"/>
            </w:pPr>
            <w:r>
              <w:t>Benxuan did not place this excerpt within a PACE+W dimension during the independent review.</w:t>
            </w:r>
          </w:p>
        </w:tc>
      </w:tr>
      <w:tr>
        <w:tc>
          <w:tcPr>
            <w:tcW w:type="dxa" w:w="2592"/>
            <w:vAlign w:val="top"/>
          </w:tcPr>
          <w:p>
            <w:pPr>
              <w:spacing w:after="20" w:before="0"/>
            </w:pPr>
            <w:r>
              <w:t>7</w:t>
            </w:r>
          </w:p>
        </w:tc>
        <w:tc>
          <w:tcPr>
            <w:tcW w:type="dxa" w:w="2592"/>
            <w:vAlign w:val="top"/>
          </w:tcPr>
          <w:p>
            <w:pPr>
              <w:spacing w:after="20" w:before="0"/>
            </w:pPr>
            <w:r>
              <w:t>On-time service is less important; early, delayed and cancelled services are important.</w:t>
            </w:r>
          </w:p>
        </w:tc>
        <w:tc>
          <w:tcPr>
            <w:tcW w:type="dxa" w:w="2592"/>
            <w:vAlign w:val="top"/>
          </w:tcPr>
          <w:p>
            <w:pPr>
              <w:spacing w:after="20" w:before="0"/>
            </w:pPr>
            <w:r>
              <w:t>Perception + Cognition</w:t>
            </w:r>
          </w:p>
        </w:tc>
        <w:tc>
          <w:tcPr>
            <w:tcW w:type="dxa" w:w="2592"/>
            <w:vAlign w:val="top"/>
          </w:tcPr>
          <w:p>
            <w:pPr>
              <w:spacing w:after="20" w:before="0"/>
            </w:pPr>
            <w:r>
              <w:t>The participant distinguishes disruption information and judges which service conditions matter.</w:t>
            </w:r>
          </w:p>
        </w:tc>
      </w:tr>
      <w:tr>
        <w:tc>
          <w:tcPr>
            <w:tcW w:type="dxa" w:w="2592"/>
            <w:vAlign w:val="top"/>
          </w:tcPr>
          <w:p>
            <w:pPr>
              <w:spacing w:after="20" w:before="0"/>
            </w:pPr>
            <w:r>
              <w:t>8</w:t>
            </w:r>
          </w:p>
        </w:tc>
        <w:tc>
          <w:tcPr>
            <w:tcW w:type="dxa" w:w="2592"/>
            <w:vAlign w:val="top"/>
          </w:tcPr>
          <w:p>
            <w:pPr>
              <w:spacing w:after="20" w:before="0"/>
            </w:pPr>
            <w:r>
              <w:t>Rely on a trusted app that provides the latest information.</w:t>
            </w:r>
          </w:p>
        </w:tc>
        <w:tc>
          <w:tcPr>
            <w:tcW w:type="dxa" w:w="2592"/>
            <w:vAlign w:val="top"/>
          </w:tcPr>
          <w:p>
            <w:pPr>
              <w:spacing w:after="20" w:before="0"/>
            </w:pPr>
            <w:r>
              <w:t>Action</w:t>
            </w:r>
          </w:p>
        </w:tc>
        <w:tc>
          <w:tcPr>
            <w:tcW w:type="dxa" w:w="2592"/>
            <w:vAlign w:val="top"/>
          </w:tcPr>
          <w:p>
            <w:pPr>
              <w:spacing w:after="20" w:before="0"/>
            </w:pPr>
            <w:r>
              <w:t>The participant states the source they would actively rely on during disruption.</w:t>
            </w:r>
          </w:p>
        </w:tc>
      </w:tr>
      <w:tr>
        <w:tc>
          <w:tcPr>
            <w:tcW w:type="dxa" w:w="2592"/>
            <w:vAlign w:val="top"/>
          </w:tcPr>
          <w:p>
            <w:pPr>
              <w:spacing w:after="20" w:before="0"/>
            </w:pPr>
            <w:r>
              <w:t>9</w:t>
            </w:r>
          </w:p>
        </w:tc>
        <w:tc>
          <w:tcPr>
            <w:tcW w:type="dxa" w:w="2592"/>
            <w:vAlign w:val="top"/>
          </w:tcPr>
          <w:p>
            <w:pPr>
              <w:spacing w:after="20" w:before="0"/>
            </w:pPr>
            <w:r>
              <w:t>Check the printed timetable because it is considered reliable.</w:t>
            </w:r>
          </w:p>
        </w:tc>
        <w:tc>
          <w:tcPr>
            <w:tcW w:type="dxa" w:w="2592"/>
            <w:vAlign w:val="top"/>
          </w:tcPr>
          <w:p>
            <w:pPr>
              <w:spacing w:after="20" w:before="0"/>
            </w:pPr>
            <w:r>
              <w:t>Cognition</w:t>
            </w:r>
          </w:p>
        </w:tc>
        <w:tc>
          <w:tcPr>
            <w:tcW w:type="dxa" w:w="2592"/>
            <w:vAlign w:val="top"/>
          </w:tcPr>
          <w:p>
            <w:pPr>
              <w:spacing w:after="20" w:before="0"/>
            </w:pPr>
            <w:r>
              <w:t>The participant evaluates the timetable as a reliable source.</w:t>
            </w:r>
          </w:p>
        </w:tc>
      </w:tr>
      <w:tr>
        <w:tc>
          <w:tcPr>
            <w:tcW w:type="dxa" w:w="2592"/>
            <w:vAlign w:val="top"/>
          </w:tcPr>
          <w:p>
            <w:pPr>
              <w:spacing w:after="20" w:before="0"/>
            </w:pPr>
            <w:r>
              <w:t>10</w:t>
            </w:r>
          </w:p>
        </w:tc>
        <w:tc>
          <w:tcPr>
            <w:tcW w:type="dxa" w:w="2592"/>
            <w:vAlign w:val="top"/>
          </w:tcPr>
          <w:p>
            <w:pPr>
              <w:spacing w:after="20" w:before="0"/>
            </w:pPr>
            <w:r>
              <w:t>If the bus is five minutes late, start looking for alternatives.</w:t>
            </w:r>
          </w:p>
        </w:tc>
        <w:tc>
          <w:tcPr>
            <w:tcW w:type="dxa" w:w="2592"/>
            <w:vAlign w:val="top"/>
          </w:tcPr>
          <w:p>
            <w:pPr>
              <w:spacing w:after="20" w:before="0"/>
            </w:pPr>
            <w:r>
              <w:t>Action + Cognition</w:t>
            </w:r>
          </w:p>
        </w:tc>
        <w:tc>
          <w:tcPr>
            <w:tcW w:type="dxa" w:w="2592"/>
            <w:vAlign w:val="top"/>
          </w:tcPr>
          <w:p>
            <w:pPr>
              <w:spacing w:after="20" w:before="0"/>
            </w:pPr>
            <w:r>
              <w:t>The five-minute threshold is a decision rule and searching for alternatives is an intended action.</w:t>
            </w:r>
          </w:p>
        </w:tc>
      </w:tr>
      <w:tr>
        <w:tc>
          <w:tcPr>
            <w:tcW w:type="dxa" w:w="2592"/>
            <w:vAlign w:val="top"/>
          </w:tcPr>
          <w:p>
            <w:pPr>
              <w:spacing w:after="20" w:before="0"/>
            </w:pPr>
            <w:r>
              <w:t>11</w:t>
            </w:r>
          </w:p>
        </w:tc>
        <w:tc>
          <w:tcPr>
            <w:tcW w:type="dxa" w:w="2592"/>
            <w:vAlign w:val="top"/>
          </w:tcPr>
          <w:p>
            <w:pPr>
              <w:spacing w:after="20" w:before="0"/>
            </w:pPr>
            <w:r>
              <w:t>Several options can be compared side by side using key parameters.</w:t>
            </w:r>
          </w:p>
        </w:tc>
        <w:tc>
          <w:tcPr>
            <w:tcW w:type="dxa" w:w="2592"/>
            <w:vAlign w:val="top"/>
          </w:tcPr>
          <w:p>
            <w:pPr>
              <w:spacing w:after="20" w:before="0"/>
            </w:pPr>
            <w:r>
              <w:t>Does not fit the framework</w:t>
            </w:r>
          </w:p>
        </w:tc>
        <w:tc>
          <w:tcPr>
            <w:tcW w:type="dxa" w:w="2592"/>
            <w:vAlign w:val="top"/>
          </w:tcPr>
          <w:p>
            <w:pPr>
              <w:spacing w:after="20" w:before="0"/>
            </w:pPr>
            <w:r>
              <w:t>Benxuan did not place this design suggestion within a PACE+W dimension during the independent review.</w:t>
            </w:r>
          </w:p>
        </w:tc>
      </w:tr>
      <w:tr>
        <w:tc>
          <w:tcPr>
            <w:tcW w:type="dxa" w:w="2592"/>
            <w:vAlign w:val="top"/>
          </w:tcPr>
          <w:p>
            <w:pPr>
              <w:spacing w:after="20" w:before="0"/>
            </w:pPr>
            <w:r>
              <w:t>12</w:t>
            </w:r>
          </w:p>
        </w:tc>
        <w:tc>
          <w:tcPr>
            <w:tcW w:type="dxa" w:w="2592"/>
            <w:vAlign w:val="top"/>
          </w:tcPr>
          <w:p>
            <w:pPr>
              <w:spacing w:after="20" w:before="0"/>
            </w:pPr>
            <w:r>
              <w:t>ETA, number of transfers and walking distance as comparison information.</w:t>
            </w:r>
          </w:p>
        </w:tc>
        <w:tc>
          <w:tcPr>
            <w:tcW w:type="dxa" w:w="2592"/>
            <w:vAlign w:val="top"/>
          </w:tcPr>
          <w:p>
            <w:pPr>
              <w:spacing w:after="20" w:before="0"/>
            </w:pPr>
            <w:r>
              <w:t>Action + Perception</w:t>
            </w:r>
          </w:p>
        </w:tc>
        <w:tc>
          <w:tcPr>
            <w:tcW w:type="dxa" w:w="2592"/>
            <w:vAlign w:val="top"/>
          </w:tcPr>
          <w:p>
            <w:pPr>
              <w:spacing w:after="20" w:before="0"/>
            </w:pPr>
            <w:r>
              <w:t>The participant identifies information to use while comparing journey options.</w:t>
            </w:r>
          </w:p>
        </w:tc>
      </w:tr>
      <w:tr>
        <w:tc>
          <w:tcPr>
            <w:tcW w:type="dxa" w:w="2592"/>
            <w:vAlign w:val="top"/>
          </w:tcPr>
          <w:p>
            <w:pPr>
              <w:spacing w:after="20" w:before="0"/>
            </w:pPr>
            <w:r>
              <w:t>13</w:t>
            </w:r>
          </w:p>
        </w:tc>
        <w:tc>
          <w:tcPr>
            <w:tcW w:type="dxa" w:w="2592"/>
            <w:vAlign w:val="top"/>
          </w:tcPr>
          <w:p>
            <w:pPr>
              <w:spacing w:after="20" w:before="0"/>
            </w:pPr>
            <w:r>
              <w:t>The support is helpful when someone is already in a hurry and looking for alternatives.</w:t>
            </w:r>
          </w:p>
        </w:tc>
        <w:tc>
          <w:tcPr>
            <w:tcW w:type="dxa" w:w="2592"/>
            <w:vAlign w:val="top"/>
          </w:tcPr>
          <w:p>
            <w:pPr>
              <w:spacing w:after="20" w:before="0"/>
            </w:pPr>
            <w:r>
              <w:t>Perception + Emotion</w:t>
            </w:r>
          </w:p>
        </w:tc>
        <w:tc>
          <w:tcPr>
            <w:tcW w:type="dxa" w:w="2592"/>
            <w:vAlign w:val="top"/>
          </w:tcPr>
          <w:p>
            <w:pPr>
              <w:spacing w:after="20" w:before="0"/>
            </w:pPr>
            <w:r>
              <w:t>The participant refers to information support in a time-pressured situation and an in-the-moment affective state.</w:t>
            </w:r>
          </w:p>
        </w:tc>
      </w:tr>
      <w:tr>
        <w:tc>
          <w:tcPr>
            <w:tcW w:type="dxa" w:w="2592"/>
            <w:vAlign w:val="top"/>
          </w:tcPr>
          <w:p>
            <w:pPr>
              <w:spacing w:after="20" w:before="0"/>
            </w:pPr>
            <w:r>
              <w:t>14</w:t>
            </w:r>
          </w:p>
        </w:tc>
        <w:tc>
          <w:tcPr>
            <w:tcW w:type="dxa" w:w="2592"/>
            <w:vAlign w:val="top"/>
          </w:tcPr>
          <w:p>
            <w:pPr>
              <w:spacing w:after="20" w:before="0"/>
            </w:pPr>
            <w:r>
              <w:t>Use voice interaction rather than repeatedly scrolling when there is little time to stop.</w:t>
            </w:r>
          </w:p>
        </w:tc>
        <w:tc>
          <w:tcPr>
            <w:tcW w:type="dxa" w:w="2592"/>
            <w:vAlign w:val="top"/>
          </w:tcPr>
          <w:p>
            <w:pPr>
              <w:spacing w:after="20" w:before="0"/>
            </w:pPr>
            <w:r>
              <w:t>Action + Cognition</w:t>
            </w:r>
          </w:p>
        </w:tc>
        <w:tc>
          <w:tcPr>
            <w:tcW w:type="dxa" w:w="2592"/>
            <w:vAlign w:val="top"/>
          </w:tcPr>
          <w:p>
            <w:pPr>
              <w:spacing w:after="20" w:before="0"/>
            </w:pPr>
            <w:r>
              <w:t>The participant proposes an interaction and explains the reasoning behind it.</w:t>
            </w:r>
          </w:p>
        </w:tc>
      </w:tr>
      <w:tr>
        <w:tc>
          <w:tcPr>
            <w:tcW w:type="dxa" w:w="2592"/>
            <w:vAlign w:val="top"/>
          </w:tcPr>
          <w:p>
            <w:pPr>
              <w:spacing w:after="20" w:before="0"/>
            </w:pPr>
            <w:r>
              <w:t>15</w:t>
            </w:r>
          </w:p>
        </w:tc>
        <w:tc>
          <w:tcPr>
            <w:tcW w:type="dxa" w:w="2592"/>
            <w:vAlign w:val="top"/>
          </w:tcPr>
          <w:p>
            <w:pPr>
              <w:spacing w:after="20" w:before="0"/>
            </w:pPr>
            <w:r>
              <w:t>During disruption, information is needed to help make the next decision.</w:t>
            </w:r>
          </w:p>
        </w:tc>
        <w:tc>
          <w:tcPr>
            <w:tcW w:type="dxa" w:w="2592"/>
            <w:vAlign w:val="top"/>
          </w:tcPr>
          <w:p>
            <w:pPr>
              <w:spacing w:after="20" w:before="0"/>
            </w:pPr>
            <w:r>
              <w:t>Cognition</w:t>
            </w:r>
          </w:p>
        </w:tc>
        <w:tc>
          <w:tcPr>
            <w:tcW w:type="dxa" w:w="2592"/>
            <w:vAlign w:val="top"/>
          </w:tcPr>
          <w:p>
            <w:pPr>
              <w:spacing w:after="20" w:before="0"/>
            </w:pPr>
            <w:r>
              <w:t>The participant directly connects information with decision-making.</w:t>
            </w:r>
          </w:p>
        </w:tc>
      </w:tr>
    </w:tbl>
    <w:p>
      <w:pPr>
        <w:pStyle w:val="Heading1"/>
      </w:pPr>
      <w:r>
        <w:t>4. Yankun-Benxuan Coding Comparison</w:t>
      </w:r>
    </w:p>
    <w:tbl>
      <w:tblPr>
        <w:tblStyle w:val="TableGrid"/>
        <w:tblW w:type="auto" w:w="0"/>
        <w:jc w:val="center"/>
        <w:tblLook w:firstColumn="1" w:firstRow="1" w:lastColumn="0" w:lastRow="0" w:noHBand="0" w:noVBand="1" w:val="04A0"/>
      </w:tblPr>
      <w:tblGrid>
        <w:gridCol w:w="1728"/>
        <w:gridCol w:w="1728"/>
        <w:gridCol w:w="1728"/>
        <w:gridCol w:w="1728"/>
        <w:gridCol w:w="1728"/>
        <w:gridCol w:w="1728"/>
      </w:tblGrid>
      <w:tr>
        <w:trPr>
          <w:tblHeader w:val="true"/>
        </w:trPr>
        <w:tc>
          <w:tcPr>
            <w:tcW w:type="dxa" w:w="1728"/>
            <w:vAlign w:val="top"/>
          </w:tcPr>
          <w:p>
            <w:pPr>
              <w:spacing w:after="20" w:before="0"/>
            </w:pPr>
            <w:r>
              <w:rPr>
                <w:b/>
              </w:rPr>
              <w:t>No.</w:t>
            </w:r>
          </w:p>
        </w:tc>
        <w:tc>
          <w:tcPr>
            <w:tcW w:type="dxa" w:w="1728"/>
            <w:vAlign w:val="top"/>
          </w:tcPr>
          <w:p>
            <w:pPr>
              <w:spacing w:after="20" w:before="0"/>
            </w:pPr>
            <w:r>
              <w:rPr>
                <w:b/>
              </w:rPr>
              <w:t>Excerpt / Meaning</w:t>
            </w:r>
          </w:p>
        </w:tc>
        <w:tc>
          <w:tcPr>
            <w:tcW w:type="dxa" w:w="1728"/>
            <w:vAlign w:val="top"/>
          </w:tcPr>
          <w:p>
            <w:pPr>
              <w:spacing w:after="20" w:before="0"/>
            </w:pPr>
            <w:r>
              <w:rPr>
                <w:b/>
              </w:rPr>
              <w:t>Yankun</w:t>
            </w:r>
          </w:p>
        </w:tc>
        <w:tc>
          <w:tcPr>
            <w:tcW w:type="dxa" w:w="1728"/>
            <w:vAlign w:val="top"/>
          </w:tcPr>
          <w:p>
            <w:pPr>
              <w:spacing w:after="20" w:before="0"/>
            </w:pPr>
            <w:r>
              <w:rPr>
                <w:b/>
              </w:rPr>
              <w:t>Benxuan</w:t>
            </w:r>
          </w:p>
        </w:tc>
        <w:tc>
          <w:tcPr>
            <w:tcW w:type="dxa" w:w="1728"/>
            <w:vAlign w:val="top"/>
          </w:tcPr>
          <w:p>
            <w:pPr>
              <w:spacing w:after="20" w:before="0"/>
            </w:pPr>
            <w:r>
              <w:rPr>
                <w:b/>
              </w:rPr>
              <w:t>Comparison</w:t>
            </w:r>
          </w:p>
        </w:tc>
        <w:tc>
          <w:tcPr>
            <w:tcW w:type="dxa" w:w="1728"/>
            <w:vAlign w:val="top"/>
          </w:tcPr>
          <w:p>
            <w:pPr>
              <w:spacing w:after="20" w:before="0"/>
            </w:pPr>
            <w:r>
              <w:rPr>
                <w:b/>
              </w:rPr>
              <w:t>Resolution / Discussion</w:t>
            </w:r>
          </w:p>
        </w:tc>
      </w:tr>
      <w:tr>
        <w:tc>
          <w:tcPr>
            <w:tcW w:type="dxa" w:w="1728"/>
            <w:vAlign w:val="top"/>
          </w:tcPr>
          <w:p>
            <w:pPr>
              <w:spacing w:after="20" w:before="0"/>
            </w:pPr>
            <w:r>
              <w:t>1</w:t>
            </w:r>
          </w:p>
        </w:tc>
        <w:tc>
          <w:tcPr>
            <w:tcW w:type="dxa" w:w="1728"/>
            <w:vAlign w:val="top"/>
          </w:tcPr>
          <w:p>
            <w:pPr>
              <w:spacing w:after="20" w:before="0"/>
            </w:pPr>
            <w:r>
              <w:t>Support should appear only when the passenger is likely to be late for the next appointment.</w:t>
            </w:r>
          </w:p>
        </w:tc>
        <w:tc>
          <w:tcPr>
            <w:tcW w:type="dxa" w:w="1728"/>
            <w:vAlign w:val="top"/>
          </w:tcPr>
          <w:p>
            <w:pPr>
              <w:spacing w:after="20" w:before="0"/>
            </w:pPr>
            <w:r>
              <w:t>Cognition</w:t>
            </w:r>
          </w:p>
        </w:tc>
        <w:tc>
          <w:tcPr>
            <w:tcW w:type="dxa" w:w="1728"/>
            <w:vAlign w:val="top"/>
          </w:tcPr>
          <w:p>
            <w:pPr>
              <w:spacing w:after="20" w:before="0"/>
            </w:pPr>
            <w:r>
              <w:t>Action + Cognition</w:t>
            </w:r>
          </w:p>
        </w:tc>
        <w:tc>
          <w:tcPr>
            <w:tcW w:type="dxa" w:w="1728"/>
            <w:vAlign w:val="top"/>
          </w:tcPr>
          <w:p>
            <w:pPr>
              <w:spacing w:after="20" w:before="0"/>
            </w:pPr>
            <w:r>
              <w:t>Partial agreement</w:t>
            </w:r>
          </w:p>
        </w:tc>
        <w:tc>
          <w:tcPr>
            <w:tcW w:type="dxa" w:w="1728"/>
            <w:vAlign w:val="top"/>
          </w:tcPr>
          <w:p>
            <w:pPr>
              <w:spacing w:after="20" w:before="0"/>
            </w:pPr>
            <w:r>
              <w:t>Both include Cognition; Benxuan additionally includes Action. Keep Cognition as core. Add Action only if the passage is interpreted as an intended intervention-related behaviour.</w:t>
            </w:r>
          </w:p>
        </w:tc>
      </w:tr>
      <w:tr>
        <w:tc>
          <w:tcPr>
            <w:tcW w:type="dxa" w:w="1728"/>
            <w:vAlign w:val="top"/>
          </w:tcPr>
          <w:p>
            <w:pPr>
              <w:spacing w:after="20" w:before="0"/>
            </w:pPr>
            <w:r>
              <w:t>2</w:t>
            </w:r>
          </w:p>
        </w:tc>
        <w:tc>
          <w:tcPr>
            <w:tcW w:type="dxa" w:w="1728"/>
            <w:vAlign w:val="top"/>
          </w:tcPr>
          <w:p>
            <w:pPr>
              <w:spacing w:after="20" w:before="0"/>
            </w:pPr>
            <w:r>
              <w:t>Available alternatives and the pros and cons of each option.</w:t>
            </w:r>
          </w:p>
        </w:tc>
        <w:tc>
          <w:tcPr>
            <w:tcW w:type="dxa" w:w="1728"/>
            <w:vAlign w:val="top"/>
          </w:tcPr>
          <w:p>
            <w:pPr>
              <w:spacing w:after="20" w:before="0"/>
            </w:pPr>
            <w:r>
              <w:t>Cognition + Perception</w:t>
            </w:r>
          </w:p>
        </w:tc>
        <w:tc>
          <w:tcPr>
            <w:tcW w:type="dxa" w:w="1728"/>
            <w:vAlign w:val="top"/>
          </w:tcPr>
          <w:p>
            <w:pPr>
              <w:spacing w:after="20" w:before="0"/>
            </w:pPr>
            <w:r>
              <w:t>Perception + Cognition</w:t>
            </w:r>
          </w:p>
        </w:tc>
        <w:tc>
          <w:tcPr>
            <w:tcW w:type="dxa" w:w="1728"/>
            <w:vAlign w:val="top"/>
          </w:tcPr>
          <w:p>
            <w:pPr>
              <w:spacing w:after="20" w:before="0"/>
            </w:pPr>
            <w:r>
              <w:t>Agreement</w:t>
            </w:r>
          </w:p>
        </w:tc>
        <w:tc>
          <w:tcPr>
            <w:tcW w:type="dxa" w:w="1728"/>
            <w:vAlign w:val="top"/>
          </w:tcPr>
          <w:p>
            <w:pPr>
              <w:spacing w:after="20" w:before="0"/>
            </w:pPr>
            <w:r>
              <w:t>Both coders identify Perception and Cognition.</w:t>
            </w:r>
          </w:p>
        </w:tc>
      </w:tr>
      <w:tr>
        <w:tc>
          <w:tcPr>
            <w:tcW w:type="dxa" w:w="1728"/>
            <w:vAlign w:val="top"/>
          </w:tcPr>
          <w:p>
            <w:pPr>
              <w:spacing w:after="20" w:before="0"/>
            </w:pPr>
            <w:r>
              <w:t>3</w:t>
            </w:r>
          </w:p>
        </w:tc>
        <w:tc>
          <w:tcPr>
            <w:tcW w:type="dxa" w:w="1728"/>
            <w:vAlign w:val="top"/>
          </w:tcPr>
          <w:p>
            <w:pPr>
              <w:spacing w:after="20" w:before="0"/>
            </w:pPr>
            <w:r>
              <w:t>Estimated delay and the consequences of that delay.</w:t>
            </w:r>
          </w:p>
        </w:tc>
        <w:tc>
          <w:tcPr>
            <w:tcW w:type="dxa" w:w="1728"/>
            <w:vAlign w:val="top"/>
          </w:tcPr>
          <w:p>
            <w:pPr>
              <w:spacing w:after="20" w:before="0"/>
            </w:pPr>
            <w:r>
              <w:t>Cognition</w:t>
            </w:r>
          </w:p>
        </w:tc>
        <w:tc>
          <w:tcPr>
            <w:tcW w:type="dxa" w:w="1728"/>
            <w:vAlign w:val="top"/>
          </w:tcPr>
          <w:p>
            <w:pPr>
              <w:spacing w:after="20" w:before="0"/>
            </w:pPr>
            <w:r>
              <w:t>Perception</w:t>
            </w:r>
          </w:p>
        </w:tc>
        <w:tc>
          <w:tcPr>
            <w:tcW w:type="dxa" w:w="1728"/>
            <w:vAlign w:val="top"/>
          </w:tcPr>
          <w:p>
            <w:pPr>
              <w:spacing w:after="20" w:before="0"/>
            </w:pPr>
            <w:r>
              <w:t>Partial agreement</w:t>
            </w:r>
          </w:p>
        </w:tc>
        <w:tc>
          <w:tcPr>
            <w:tcW w:type="dxa" w:w="1728"/>
            <w:vAlign w:val="top"/>
          </w:tcPr>
          <w:p>
            <w:pPr>
              <w:spacing w:after="20" w:before="0"/>
            </w:pPr>
            <w:r>
              <w:t>Yankun emphasises interpretation/consequences (Cognition); Benxuan emphasises information received (Perception). Overlap is reasonable: Perception + Cognition.</w:t>
            </w:r>
          </w:p>
        </w:tc>
      </w:tr>
      <w:tr>
        <w:tc>
          <w:tcPr>
            <w:tcW w:type="dxa" w:w="1728"/>
            <w:vAlign w:val="top"/>
          </w:tcPr>
          <w:p>
            <w:pPr>
              <w:spacing w:after="20" w:before="0"/>
            </w:pPr>
            <w:r>
              <w:t>4</w:t>
            </w:r>
          </w:p>
        </w:tc>
        <w:tc>
          <w:tcPr>
            <w:tcW w:type="dxa" w:w="1728"/>
            <w:vAlign w:val="top"/>
          </w:tcPr>
          <w:p>
            <w:pPr>
              <w:spacing w:after="20" w:before="0"/>
            </w:pPr>
            <w:r>
              <w:t>Missing the final bus changes the significance of the disruption.</w:t>
            </w:r>
          </w:p>
        </w:tc>
        <w:tc>
          <w:tcPr>
            <w:tcW w:type="dxa" w:w="1728"/>
            <w:vAlign w:val="top"/>
          </w:tcPr>
          <w:p>
            <w:pPr>
              <w:spacing w:after="20" w:before="0"/>
            </w:pPr>
            <w:r>
              <w:t>Cognition + Emotion</w:t>
            </w:r>
          </w:p>
        </w:tc>
        <w:tc>
          <w:tcPr>
            <w:tcW w:type="dxa" w:w="1728"/>
            <w:vAlign w:val="top"/>
          </w:tcPr>
          <w:p>
            <w:pPr>
              <w:spacing w:after="20" w:before="0"/>
            </w:pPr>
            <w:r>
              <w:t>Cognition</w:t>
            </w:r>
          </w:p>
        </w:tc>
        <w:tc>
          <w:tcPr>
            <w:tcW w:type="dxa" w:w="1728"/>
            <w:vAlign w:val="top"/>
          </w:tcPr>
          <w:p>
            <w:pPr>
              <w:spacing w:after="20" w:before="0"/>
            </w:pPr>
            <w:r>
              <w:t>Partial agreement</w:t>
            </w:r>
          </w:p>
        </w:tc>
        <w:tc>
          <w:tcPr>
            <w:tcW w:type="dxa" w:w="1728"/>
            <w:vAlign w:val="top"/>
          </w:tcPr>
          <w:p>
            <w:pPr>
              <w:spacing w:after="20" w:before="0"/>
            </w:pPr>
            <w:r>
              <w:t>Both include Cognition. Benxuan does not infer Emotion. Resolve as Cognition unless an explicit felt response is present.</w:t>
            </w:r>
          </w:p>
        </w:tc>
      </w:tr>
      <w:tr>
        <w:tc>
          <w:tcPr>
            <w:tcW w:type="dxa" w:w="1728"/>
            <w:vAlign w:val="top"/>
          </w:tcPr>
          <w:p>
            <w:pPr>
              <w:spacing w:after="20" w:before="0"/>
            </w:pPr>
            <w:r>
              <w:t>5</w:t>
            </w:r>
          </w:p>
        </w:tc>
        <w:tc>
          <w:tcPr>
            <w:tcW w:type="dxa" w:w="1728"/>
            <w:vAlign w:val="top"/>
          </w:tcPr>
          <w:p>
            <w:pPr>
              <w:spacing w:after="20" w:before="0"/>
            </w:pPr>
            <w:r>
              <w:t>If the current journey still works, do not change; otherwise consider the available options.</w:t>
            </w:r>
          </w:p>
        </w:tc>
        <w:tc>
          <w:tcPr>
            <w:tcW w:type="dxa" w:w="1728"/>
            <w:vAlign w:val="top"/>
          </w:tcPr>
          <w:p>
            <w:pPr>
              <w:spacing w:after="20" w:before="0"/>
            </w:pPr>
            <w:r>
              <w:t>Cognition + Action</w:t>
            </w:r>
          </w:p>
        </w:tc>
        <w:tc>
          <w:tcPr>
            <w:tcW w:type="dxa" w:w="1728"/>
            <w:vAlign w:val="top"/>
          </w:tcPr>
          <w:p>
            <w:pPr>
              <w:spacing w:after="20" w:before="0"/>
            </w:pPr>
            <w:r>
              <w:t>Perception + Cognition</w:t>
            </w:r>
          </w:p>
        </w:tc>
        <w:tc>
          <w:tcPr>
            <w:tcW w:type="dxa" w:w="1728"/>
            <w:vAlign w:val="top"/>
          </w:tcPr>
          <w:p>
            <w:pPr>
              <w:spacing w:after="20" w:before="0"/>
            </w:pPr>
            <w:r>
              <w:t>Partial agreement</w:t>
            </w:r>
          </w:p>
        </w:tc>
        <w:tc>
          <w:tcPr>
            <w:tcW w:type="dxa" w:w="1728"/>
            <w:vAlign w:val="top"/>
          </w:tcPr>
          <w:p>
            <w:pPr>
              <w:spacing w:after="20" w:before="0"/>
            </w:pPr>
            <w:r>
              <w:t>Both include Cognition, but Yankun adds Action while Benxuan adds Perception. Cognition is core; Action is appropriate for the move toward alternatives.</w:t>
            </w:r>
          </w:p>
        </w:tc>
      </w:tr>
      <w:tr>
        <w:tc>
          <w:tcPr>
            <w:tcW w:type="dxa" w:w="1728"/>
            <w:vAlign w:val="top"/>
          </w:tcPr>
          <w:p>
            <w:pPr>
              <w:spacing w:after="20" w:before="0"/>
            </w:pPr>
            <w:r>
              <w:t>6</w:t>
            </w:r>
          </w:p>
        </w:tc>
        <w:tc>
          <w:tcPr>
            <w:tcW w:type="dxa" w:w="1728"/>
            <w:vAlign w:val="top"/>
          </w:tcPr>
          <w:p>
            <w:pPr>
              <w:spacing w:after="20" w:before="0"/>
            </w:pPr>
            <w:r>
              <w:t>One leg versus two transfers and estimated time of arrival.</w:t>
            </w:r>
          </w:p>
        </w:tc>
        <w:tc>
          <w:tcPr>
            <w:tcW w:type="dxa" w:w="1728"/>
            <w:vAlign w:val="top"/>
          </w:tcPr>
          <w:p>
            <w:pPr>
              <w:spacing w:after="20" w:before="0"/>
            </w:pPr>
            <w:r>
              <w:t>Cognition</w:t>
            </w:r>
          </w:p>
        </w:tc>
        <w:tc>
          <w:tcPr>
            <w:tcW w:type="dxa" w:w="1728"/>
            <w:vAlign w:val="top"/>
          </w:tcPr>
          <w:p>
            <w:pPr>
              <w:spacing w:after="20" w:before="0"/>
            </w:pPr>
            <w:r>
              <w:t>Does not fit the framework</w:t>
            </w:r>
          </w:p>
        </w:tc>
        <w:tc>
          <w:tcPr>
            <w:tcW w:type="dxa" w:w="1728"/>
            <w:vAlign w:val="top"/>
          </w:tcPr>
          <w:p>
            <w:pPr>
              <w:spacing w:after="20" w:before="0"/>
            </w:pPr>
            <w:r>
              <w:t>Disagreement</w:t>
            </w:r>
          </w:p>
        </w:tc>
        <w:tc>
          <w:tcPr>
            <w:tcW w:type="dxa" w:w="1728"/>
            <w:vAlign w:val="top"/>
          </w:tcPr>
          <w:p>
            <w:pPr>
              <w:spacing w:after="20" w:before="0"/>
            </w:pPr>
            <w:r>
              <w:t>Yankun coded Cognition; Benxuan used Does not fit. Resolve as Cognition because transfers and ETA are explicitly used as trade-off criteria.</w:t>
            </w:r>
          </w:p>
        </w:tc>
      </w:tr>
      <w:tr>
        <w:tc>
          <w:tcPr>
            <w:tcW w:type="dxa" w:w="1728"/>
            <w:vAlign w:val="top"/>
          </w:tcPr>
          <w:p>
            <w:pPr>
              <w:spacing w:after="20" w:before="0"/>
            </w:pPr>
            <w:r>
              <w:t>7</w:t>
            </w:r>
          </w:p>
        </w:tc>
        <w:tc>
          <w:tcPr>
            <w:tcW w:type="dxa" w:w="1728"/>
            <w:vAlign w:val="top"/>
          </w:tcPr>
          <w:p>
            <w:pPr>
              <w:spacing w:after="20" w:before="0"/>
            </w:pPr>
            <w:r>
              <w:t>On-time service is less important; early, delayed and cancelled services are important.</w:t>
            </w:r>
          </w:p>
        </w:tc>
        <w:tc>
          <w:tcPr>
            <w:tcW w:type="dxa" w:w="1728"/>
            <w:vAlign w:val="top"/>
          </w:tcPr>
          <w:p>
            <w:pPr>
              <w:spacing w:after="20" w:before="0"/>
            </w:pPr>
            <w:r>
              <w:t>Not selected as a separate reference</w:t>
            </w:r>
          </w:p>
        </w:tc>
        <w:tc>
          <w:tcPr>
            <w:tcW w:type="dxa" w:w="1728"/>
            <w:vAlign w:val="top"/>
          </w:tcPr>
          <w:p>
            <w:pPr>
              <w:spacing w:after="20" w:before="0"/>
            </w:pPr>
            <w:r>
              <w:t>Perception + Cognition</w:t>
            </w:r>
          </w:p>
        </w:tc>
        <w:tc>
          <w:tcPr>
            <w:tcW w:type="dxa" w:w="1728"/>
            <w:vAlign w:val="top"/>
          </w:tcPr>
          <w:p>
            <w:pPr>
              <w:spacing w:after="20" w:before="0"/>
            </w:pPr>
            <w:r>
              <w:t>Selection difference</w:t>
            </w:r>
          </w:p>
        </w:tc>
        <w:tc>
          <w:tcPr>
            <w:tcW w:type="dxa" w:w="1728"/>
            <w:vAlign w:val="top"/>
          </w:tcPr>
          <w:p>
            <w:pPr>
              <w:spacing w:after="20" w:before="0"/>
            </w:pPr>
            <w:r>
              <w:t>Benxuan coded Perception + Cognition; Yankun did not select this as a separate NVivo reference. Treat as excerpt-selection difference, not coder error.</w:t>
            </w:r>
          </w:p>
        </w:tc>
      </w:tr>
      <w:tr>
        <w:tc>
          <w:tcPr>
            <w:tcW w:type="dxa" w:w="1728"/>
            <w:vAlign w:val="top"/>
          </w:tcPr>
          <w:p>
            <w:pPr>
              <w:spacing w:after="20" w:before="0"/>
            </w:pPr>
            <w:r>
              <w:t>8</w:t>
            </w:r>
          </w:p>
        </w:tc>
        <w:tc>
          <w:tcPr>
            <w:tcW w:type="dxa" w:w="1728"/>
            <w:vAlign w:val="top"/>
          </w:tcPr>
          <w:p>
            <w:pPr>
              <w:spacing w:after="20" w:before="0"/>
            </w:pPr>
            <w:r>
              <w:t>Rely on a trusted app that provides the latest information.</w:t>
            </w:r>
          </w:p>
        </w:tc>
        <w:tc>
          <w:tcPr>
            <w:tcW w:type="dxa" w:w="1728"/>
            <w:vAlign w:val="top"/>
          </w:tcPr>
          <w:p>
            <w:pPr>
              <w:spacing w:after="20" w:before="0"/>
            </w:pPr>
            <w:r>
              <w:t>Cognition + Emotion</w:t>
            </w:r>
          </w:p>
        </w:tc>
        <w:tc>
          <w:tcPr>
            <w:tcW w:type="dxa" w:w="1728"/>
            <w:vAlign w:val="top"/>
          </w:tcPr>
          <w:p>
            <w:pPr>
              <w:spacing w:after="20" w:before="0"/>
            </w:pPr>
            <w:r>
              <w:t>Action</w:t>
            </w:r>
          </w:p>
        </w:tc>
        <w:tc>
          <w:tcPr>
            <w:tcW w:type="dxa" w:w="1728"/>
            <w:vAlign w:val="top"/>
          </w:tcPr>
          <w:p>
            <w:pPr>
              <w:spacing w:after="20" w:before="0"/>
            </w:pPr>
            <w:r>
              <w:t>Partial agreement</w:t>
            </w:r>
          </w:p>
        </w:tc>
        <w:tc>
          <w:tcPr>
            <w:tcW w:type="dxa" w:w="1728"/>
            <w:vAlign w:val="top"/>
          </w:tcPr>
          <w:p>
            <w:pPr>
              <w:spacing w:after="20" w:before="0"/>
            </w:pPr>
            <w:r>
              <w:t>Yankun used Cognition + Emotion; Benxuan used Action. Resolve primarily as Cognition, with Action possible for reliance behaviour; do not infer Emotion from trust alone.</w:t>
            </w:r>
          </w:p>
        </w:tc>
      </w:tr>
      <w:tr>
        <w:tc>
          <w:tcPr>
            <w:tcW w:type="dxa" w:w="1728"/>
            <w:vAlign w:val="top"/>
          </w:tcPr>
          <w:p>
            <w:pPr>
              <w:spacing w:after="20" w:before="0"/>
            </w:pPr>
            <w:r>
              <w:t>9</w:t>
            </w:r>
          </w:p>
        </w:tc>
        <w:tc>
          <w:tcPr>
            <w:tcW w:type="dxa" w:w="1728"/>
            <w:vAlign w:val="top"/>
          </w:tcPr>
          <w:p>
            <w:pPr>
              <w:spacing w:after="20" w:before="0"/>
            </w:pPr>
            <w:r>
              <w:t>Check the printed timetable because it is considered reliable.</w:t>
            </w:r>
          </w:p>
        </w:tc>
        <w:tc>
          <w:tcPr>
            <w:tcW w:type="dxa" w:w="1728"/>
            <w:vAlign w:val="top"/>
          </w:tcPr>
          <w:p>
            <w:pPr>
              <w:spacing w:after="20" w:before="0"/>
            </w:pPr>
            <w:r>
              <w:t>Not selected as a separate reference</w:t>
            </w:r>
          </w:p>
        </w:tc>
        <w:tc>
          <w:tcPr>
            <w:tcW w:type="dxa" w:w="1728"/>
            <w:vAlign w:val="top"/>
          </w:tcPr>
          <w:p>
            <w:pPr>
              <w:spacing w:after="20" w:before="0"/>
            </w:pPr>
            <w:r>
              <w:t>Cognition</w:t>
            </w:r>
          </w:p>
        </w:tc>
        <w:tc>
          <w:tcPr>
            <w:tcW w:type="dxa" w:w="1728"/>
            <w:vAlign w:val="top"/>
          </w:tcPr>
          <w:p>
            <w:pPr>
              <w:spacing w:after="20" w:before="0"/>
            </w:pPr>
            <w:r>
              <w:t>Selection difference</w:t>
            </w:r>
          </w:p>
        </w:tc>
        <w:tc>
          <w:tcPr>
            <w:tcW w:type="dxa" w:w="1728"/>
            <w:vAlign w:val="top"/>
          </w:tcPr>
          <w:p>
            <w:pPr>
              <w:spacing w:after="20" w:before="0"/>
            </w:pPr>
            <w:r>
              <w:t>Benxuan coded Cognition; Yankun did not select this as a separate NVivo reference. The full passage also contains an explicit checking behaviour, so Action + Cognition is a useful refined interpretation.</w:t>
            </w:r>
          </w:p>
        </w:tc>
      </w:tr>
      <w:tr>
        <w:tc>
          <w:tcPr>
            <w:tcW w:type="dxa" w:w="1728"/>
            <w:vAlign w:val="top"/>
          </w:tcPr>
          <w:p>
            <w:pPr>
              <w:spacing w:after="20" w:before="0"/>
            </w:pPr>
            <w:r>
              <w:t>10</w:t>
            </w:r>
          </w:p>
        </w:tc>
        <w:tc>
          <w:tcPr>
            <w:tcW w:type="dxa" w:w="1728"/>
            <w:vAlign w:val="top"/>
          </w:tcPr>
          <w:p>
            <w:pPr>
              <w:spacing w:after="20" w:before="0"/>
            </w:pPr>
            <w:r>
              <w:t>If the bus is five minutes late, start looking for alternatives.</w:t>
            </w:r>
          </w:p>
        </w:tc>
        <w:tc>
          <w:tcPr>
            <w:tcW w:type="dxa" w:w="1728"/>
            <w:vAlign w:val="top"/>
          </w:tcPr>
          <w:p>
            <w:pPr>
              <w:spacing w:after="20" w:before="0"/>
            </w:pPr>
            <w:r>
              <w:t>Cognition + Action</w:t>
            </w:r>
          </w:p>
        </w:tc>
        <w:tc>
          <w:tcPr>
            <w:tcW w:type="dxa" w:w="1728"/>
            <w:vAlign w:val="top"/>
          </w:tcPr>
          <w:p>
            <w:pPr>
              <w:spacing w:after="20" w:before="0"/>
            </w:pPr>
            <w:r>
              <w:t>Action + Cognition</w:t>
            </w:r>
          </w:p>
        </w:tc>
        <w:tc>
          <w:tcPr>
            <w:tcW w:type="dxa" w:w="1728"/>
            <w:vAlign w:val="top"/>
          </w:tcPr>
          <w:p>
            <w:pPr>
              <w:spacing w:after="20" w:before="0"/>
            </w:pPr>
            <w:r>
              <w:t>Agreement</w:t>
            </w:r>
          </w:p>
        </w:tc>
        <w:tc>
          <w:tcPr>
            <w:tcW w:type="dxa" w:w="1728"/>
            <w:vAlign w:val="top"/>
          </w:tcPr>
          <w:p>
            <w:pPr>
              <w:spacing w:after="20" w:before="0"/>
            </w:pPr>
            <w:r>
              <w:t>Both identify Action + Cognition.</w:t>
            </w:r>
          </w:p>
        </w:tc>
      </w:tr>
      <w:tr>
        <w:tc>
          <w:tcPr>
            <w:tcW w:type="dxa" w:w="1728"/>
            <w:vAlign w:val="top"/>
          </w:tcPr>
          <w:p>
            <w:pPr>
              <w:spacing w:after="20" w:before="0"/>
            </w:pPr>
            <w:r>
              <w:t>11</w:t>
            </w:r>
          </w:p>
        </w:tc>
        <w:tc>
          <w:tcPr>
            <w:tcW w:type="dxa" w:w="1728"/>
            <w:vAlign w:val="top"/>
          </w:tcPr>
          <w:p>
            <w:pPr>
              <w:spacing w:after="20" w:before="0"/>
            </w:pPr>
            <w:r>
              <w:t>Several options can be compared side by side using key parameters.</w:t>
            </w:r>
          </w:p>
        </w:tc>
        <w:tc>
          <w:tcPr>
            <w:tcW w:type="dxa" w:w="1728"/>
            <w:vAlign w:val="top"/>
          </w:tcPr>
          <w:p>
            <w:pPr>
              <w:spacing w:after="20" w:before="0"/>
            </w:pPr>
            <w:r>
              <w:t>Cognition + Perception</w:t>
            </w:r>
          </w:p>
        </w:tc>
        <w:tc>
          <w:tcPr>
            <w:tcW w:type="dxa" w:w="1728"/>
            <w:vAlign w:val="top"/>
          </w:tcPr>
          <w:p>
            <w:pPr>
              <w:spacing w:after="20" w:before="0"/>
            </w:pPr>
            <w:r>
              <w:t>Does not fit the framework</w:t>
            </w:r>
          </w:p>
        </w:tc>
        <w:tc>
          <w:tcPr>
            <w:tcW w:type="dxa" w:w="1728"/>
            <w:vAlign w:val="top"/>
          </w:tcPr>
          <w:p>
            <w:pPr>
              <w:spacing w:after="20" w:before="0"/>
            </w:pPr>
            <w:r>
              <w:t>Disagreement</w:t>
            </w:r>
          </w:p>
        </w:tc>
        <w:tc>
          <w:tcPr>
            <w:tcW w:type="dxa" w:w="1728"/>
            <w:vAlign w:val="top"/>
          </w:tcPr>
          <w:p>
            <w:pPr>
              <w:spacing w:after="20" w:before="0"/>
            </w:pPr>
            <w:r>
              <w:t>Yankun coded Cognition + Perception; Benxuan used Does not fit. Resolve as Cognition + Perception because side-by-side presentation supports information uptake and comparison.</w:t>
            </w:r>
          </w:p>
        </w:tc>
      </w:tr>
      <w:tr>
        <w:tc>
          <w:tcPr>
            <w:tcW w:type="dxa" w:w="1728"/>
            <w:vAlign w:val="top"/>
          </w:tcPr>
          <w:p>
            <w:pPr>
              <w:spacing w:after="20" w:before="0"/>
            </w:pPr>
            <w:r>
              <w:t>12</w:t>
            </w:r>
          </w:p>
        </w:tc>
        <w:tc>
          <w:tcPr>
            <w:tcW w:type="dxa" w:w="1728"/>
            <w:vAlign w:val="top"/>
          </w:tcPr>
          <w:p>
            <w:pPr>
              <w:spacing w:after="20" w:before="0"/>
            </w:pPr>
            <w:r>
              <w:t>ETA, number of transfers and walking distance as comparison information.</w:t>
            </w:r>
          </w:p>
        </w:tc>
        <w:tc>
          <w:tcPr>
            <w:tcW w:type="dxa" w:w="1728"/>
            <w:vAlign w:val="top"/>
          </w:tcPr>
          <w:p>
            <w:pPr>
              <w:spacing w:after="20" w:before="0"/>
            </w:pPr>
            <w:r>
              <w:t>Not selected as a separate reference</w:t>
            </w:r>
          </w:p>
        </w:tc>
        <w:tc>
          <w:tcPr>
            <w:tcW w:type="dxa" w:w="1728"/>
            <w:vAlign w:val="top"/>
          </w:tcPr>
          <w:p>
            <w:pPr>
              <w:spacing w:after="20" w:before="0"/>
            </w:pPr>
            <w:r>
              <w:t>Action + Perception</w:t>
            </w:r>
          </w:p>
        </w:tc>
        <w:tc>
          <w:tcPr>
            <w:tcW w:type="dxa" w:w="1728"/>
            <w:vAlign w:val="top"/>
          </w:tcPr>
          <w:p>
            <w:pPr>
              <w:spacing w:after="20" w:before="0"/>
            </w:pPr>
            <w:r>
              <w:t>Selection difference</w:t>
            </w:r>
          </w:p>
        </w:tc>
        <w:tc>
          <w:tcPr>
            <w:tcW w:type="dxa" w:w="1728"/>
            <w:vAlign w:val="top"/>
          </w:tcPr>
          <w:p>
            <w:pPr>
              <w:spacing w:after="20" w:before="0"/>
            </w:pPr>
            <w:r>
              <w:t>Benxuan coded Action + Perception; Yankun did not select this as a separate NVivo reference. Perception is clearly supported; Cognition may apply when these parameters are explicitly compared.</w:t>
            </w:r>
          </w:p>
        </w:tc>
      </w:tr>
      <w:tr>
        <w:tc>
          <w:tcPr>
            <w:tcW w:type="dxa" w:w="1728"/>
            <w:vAlign w:val="top"/>
          </w:tcPr>
          <w:p>
            <w:pPr>
              <w:spacing w:after="20" w:before="0"/>
            </w:pPr>
            <w:r>
              <w:t>13</w:t>
            </w:r>
          </w:p>
        </w:tc>
        <w:tc>
          <w:tcPr>
            <w:tcW w:type="dxa" w:w="1728"/>
            <w:vAlign w:val="top"/>
          </w:tcPr>
          <w:p>
            <w:pPr>
              <w:spacing w:after="20" w:before="0"/>
            </w:pPr>
            <w:r>
              <w:t>The support is helpful when someone is already in a hurry and looking for alternatives.</w:t>
            </w:r>
          </w:p>
        </w:tc>
        <w:tc>
          <w:tcPr>
            <w:tcW w:type="dxa" w:w="1728"/>
            <w:vAlign w:val="top"/>
          </w:tcPr>
          <w:p>
            <w:pPr>
              <w:spacing w:after="20" w:before="0"/>
            </w:pPr>
            <w:r>
              <w:t>Not selected as a separate reference</w:t>
            </w:r>
          </w:p>
        </w:tc>
        <w:tc>
          <w:tcPr>
            <w:tcW w:type="dxa" w:w="1728"/>
            <w:vAlign w:val="top"/>
          </w:tcPr>
          <w:p>
            <w:pPr>
              <w:spacing w:after="20" w:before="0"/>
            </w:pPr>
            <w:r>
              <w:t>Perception + Emotion</w:t>
            </w:r>
          </w:p>
        </w:tc>
        <w:tc>
          <w:tcPr>
            <w:tcW w:type="dxa" w:w="1728"/>
            <w:vAlign w:val="top"/>
          </w:tcPr>
          <w:p>
            <w:pPr>
              <w:spacing w:after="20" w:before="0"/>
            </w:pPr>
            <w:r>
              <w:t>Selection difference</w:t>
            </w:r>
          </w:p>
        </w:tc>
        <w:tc>
          <w:tcPr>
            <w:tcW w:type="dxa" w:w="1728"/>
            <w:vAlign w:val="top"/>
          </w:tcPr>
          <w:p>
            <w:pPr>
              <w:spacing w:after="20" w:before="0"/>
            </w:pPr>
            <w:r>
              <w:t>Benxuan coded Perception + Emotion; Yankun did not select this as a separate NVivo reference. Emotion should be retained only if "in a hurry" is treated as a clearly expressed felt state; otherwise Cognition/Perception is safer.</w:t>
            </w:r>
          </w:p>
        </w:tc>
      </w:tr>
      <w:tr>
        <w:tc>
          <w:tcPr>
            <w:tcW w:type="dxa" w:w="1728"/>
            <w:vAlign w:val="top"/>
          </w:tcPr>
          <w:p>
            <w:pPr>
              <w:spacing w:after="20" w:before="0"/>
            </w:pPr>
            <w:r>
              <w:t>14</w:t>
            </w:r>
          </w:p>
        </w:tc>
        <w:tc>
          <w:tcPr>
            <w:tcW w:type="dxa" w:w="1728"/>
            <w:vAlign w:val="top"/>
          </w:tcPr>
          <w:p>
            <w:pPr>
              <w:spacing w:after="20" w:before="0"/>
            </w:pPr>
            <w:r>
              <w:t>Use voice interaction rather than repeatedly scrolling when there is little time to stop.</w:t>
            </w:r>
          </w:p>
        </w:tc>
        <w:tc>
          <w:tcPr>
            <w:tcW w:type="dxa" w:w="1728"/>
            <w:vAlign w:val="top"/>
          </w:tcPr>
          <w:p>
            <w:pPr>
              <w:spacing w:after="20" w:before="0"/>
            </w:pPr>
            <w:r>
              <w:t>Cognition + Action</w:t>
            </w:r>
          </w:p>
        </w:tc>
        <w:tc>
          <w:tcPr>
            <w:tcW w:type="dxa" w:w="1728"/>
            <w:vAlign w:val="top"/>
          </w:tcPr>
          <w:p>
            <w:pPr>
              <w:spacing w:after="20" w:before="0"/>
            </w:pPr>
            <w:r>
              <w:t>Action + Cognition</w:t>
            </w:r>
          </w:p>
        </w:tc>
        <w:tc>
          <w:tcPr>
            <w:tcW w:type="dxa" w:w="1728"/>
            <w:vAlign w:val="top"/>
          </w:tcPr>
          <w:p>
            <w:pPr>
              <w:spacing w:after="20" w:before="0"/>
            </w:pPr>
            <w:r>
              <w:t>Partial agreement</w:t>
            </w:r>
          </w:p>
        </w:tc>
        <w:tc>
          <w:tcPr>
            <w:tcW w:type="dxa" w:w="1728"/>
            <w:vAlign w:val="top"/>
          </w:tcPr>
          <w:p>
            <w:pPr>
              <w:spacing w:after="20" w:before="0"/>
            </w:pPr>
            <w:r>
              <w:t>Both include Action and Cognition; Benxuan matches the refined interpretation of the excerpt.</w:t>
            </w:r>
          </w:p>
        </w:tc>
      </w:tr>
      <w:tr>
        <w:tc>
          <w:tcPr>
            <w:tcW w:type="dxa" w:w="1728"/>
            <w:vAlign w:val="top"/>
          </w:tcPr>
          <w:p>
            <w:pPr>
              <w:spacing w:after="20" w:before="0"/>
            </w:pPr>
            <w:r>
              <w:t>15</w:t>
            </w:r>
          </w:p>
        </w:tc>
        <w:tc>
          <w:tcPr>
            <w:tcW w:type="dxa" w:w="1728"/>
            <w:vAlign w:val="top"/>
          </w:tcPr>
          <w:p>
            <w:pPr>
              <w:spacing w:after="20" w:before="0"/>
            </w:pPr>
            <w:r>
              <w:t>During disruption, information is needed to help make the next decision.</w:t>
            </w:r>
          </w:p>
        </w:tc>
        <w:tc>
          <w:tcPr>
            <w:tcW w:type="dxa" w:w="1728"/>
            <w:vAlign w:val="top"/>
          </w:tcPr>
          <w:p>
            <w:pPr>
              <w:spacing w:after="20" w:before="0"/>
            </w:pPr>
            <w:r>
              <w:t>Not selected as a separate reference</w:t>
            </w:r>
          </w:p>
        </w:tc>
        <w:tc>
          <w:tcPr>
            <w:tcW w:type="dxa" w:w="1728"/>
            <w:vAlign w:val="top"/>
          </w:tcPr>
          <w:p>
            <w:pPr>
              <w:spacing w:after="20" w:before="0"/>
            </w:pPr>
            <w:r>
              <w:t>Cognition</w:t>
            </w:r>
          </w:p>
        </w:tc>
        <w:tc>
          <w:tcPr>
            <w:tcW w:type="dxa" w:w="1728"/>
            <w:vAlign w:val="top"/>
          </w:tcPr>
          <w:p>
            <w:pPr>
              <w:spacing w:after="20" w:before="0"/>
            </w:pPr>
            <w:r>
              <w:t>Selection difference</w:t>
            </w:r>
          </w:p>
        </w:tc>
        <w:tc>
          <w:tcPr>
            <w:tcW w:type="dxa" w:w="1728"/>
            <w:vAlign w:val="top"/>
          </w:tcPr>
          <w:p>
            <w:pPr>
              <w:spacing w:after="20" w:before="0"/>
            </w:pPr>
            <w:r>
              <w:t>Benxuan coded Cognition; Yankun did not select this as a separate NVivo reference. Cognition is appropriate because the statement directly links information to deciding.</w:t>
            </w:r>
          </w:p>
        </w:tc>
      </w:tr>
    </w:tbl>
    <w:p>
      <w:pPr>
        <w:pStyle w:val="Heading1"/>
      </w:pPr>
      <w:r>
        <w:t>5. Comparison Summary</w:t>
      </w:r>
    </w:p>
    <w:p>
      <w:r>
        <w:t>The two coders show substantial conceptual overlap around Cognition, particularly for journey consequences, decision thresholds, alternative evaluation, and information needs. Exact code combinations differ in several places because PACE+W dimensions can overlap and because the coders selected different portions of the transcript. The clearest disagreements concern whether comparison-oriented design statements belong within PACE+W and whether trust/urgency should be treated as Emotion. These differences are useful for tightening the codebook rather than being treated as errors.</w:t>
      </w:r>
    </w:p>
    <w:p>
      <w:pPr>
        <w:pStyle w:val="Heading1"/>
      </w:pPr>
      <w:r>
        <w:t>6. Refined Coding Rules After Comparison</w:t>
      </w:r>
    </w:p>
    <w:p>
      <w:r>
        <w:rPr>
          <w:b/>
        </w:rPr>
        <w:t xml:space="preserve">Perception: </w:t>
      </w:r>
      <w:r>
        <w:t>Use when the main emphasis is on information being noticed, received, attended to, or presented. It can overlap with Cognition when the same information is interpreted or compared.</w:t>
      </w:r>
    </w:p>
    <w:p>
      <w:r>
        <w:rPr>
          <w:b/>
        </w:rPr>
        <w:t xml:space="preserve">Action: </w:t>
      </w:r>
      <w:r>
        <w:t>Use when the participant states an actual, intended, or clearly proposed behaviour or interaction. A preference or judgement without a behaviour should not be coded as Action.</w:t>
      </w:r>
    </w:p>
    <w:p>
      <w:r>
        <w:rPr>
          <w:b/>
        </w:rPr>
        <w:t xml:space="preserve">Cognition: </w:t>
      </w:r>
      <w:r>
        <w:t>Use for understanding, reasoning, comparison, expectations, decision thresholds, trade-offs, interpretation, and deciding. Journey-option criteria such as transfers and ETA belong here when they are used to make a choice.</w:t>
      </w:r>
    </w:p>
    <w:p>
      <w:r>
        <w:rPr>
          <w:b/>
        </w:rPr>
        <w:t xml:space="preserve">Emotion: </w:t>
      </w:r>
      <w:r>
        <w:t>Use only for an explicit or clearly expressed felt response. Trust, importance, urgency, or reliability judgements should not automatically be treated as Emotion.</w:t>
      </w:r>
    </w:p>
    <w:p>
      <w:r>
        <w:rPr>
          <w:b/>
        </w:rPr>
        <w:t xml:space="preserve">Wellbeing: </w:t>
      </w:r>
      <w:r>
        <w:t>Use only for explicit evidence of pleasure, comfort, enjoyment, ease, autonomy, competence, relatedness, meaning, growth, or functioning well.</w:t>
      </w:r>
    </w:p>
    <w:p>
      <w:r>
        <w:rPr>
          <w:b/>
        </w:rPr>
        <w:t xml:space="preserve">Does not fit the framework: </w:t>
      </w:r>
      <w:r>
        <w:t>Reserve for relevant evidence that genuinely cannot be meaningfully represented by Perception, Action, Cognition, Emotion, or Wellbeing. Design suggestions can still be coded when they clearly express information uptake, reasoning, or intended interaction.</w:t>
      </w:r>
    </w:p>
    <w:p>
      <w:pPr>
        <w:pStyle w:val="Heading1"/>
      </w:pPr>
      <w:r>
        <w:t>7. Second-Coder Comparison Memo</w:t>
      </w:r>
    </w:p>
    <w:p>
      <w:r>
        <w:t>Benxuan Wang independently coded 15 selected excerpts from Participant P10 using the shared PACE+W framework. His coding was compared with Yankun Yang's existing NVivo coding. The comparison showed strong conceptual overlap around Cognition and agreement on several decision/action passages, while differences mainly involved overlapping code boundaries and excerpt selection. Discussion of the differences led to clearer working rules: Perception focuses on information received or presented; Cognition focuses on interpretation, comparison, thresholds and deciding; Action requires an actual, intended or proposed behaviour; and Emotion requires an explicit or clearly expressed felt response. The 'Does not fit the framework' code is retained but should be used only when relevant evidence cannot meaningfully be represented by another PACE+W dimension. Overlapping coding remains acceptable when a passage clearly represents more than one dimension.</w:t>
      </w:r>
    </w:p>
    <w:p>
      <w:pPr>
        <w:pStyle w:val="Heading1"/>
      </w:pPr>
      <w:r>
        <w:t>8. Second-Coder Notes and Completion</w:t>
      </w:r>
    </w:p>
    <w:tbl>
      <w:tblPr>
        <w:tblStyle w:val="TableGrid"/>
        <w:tblW w:type="auto" w:w="0"/>
        <w:tblLook w:firstColumn="1" w:firstRow="1" w:lastColumn="0" w:lastRow="0" w:noHBand="0" w:noVBand="1" w:val="04A0"/>
      </w:tblPr>
      <w:tblGrid>
        <w:gridCol w:w="5184"/>
        <w:gridCol w:w="5184"/>
      </w:tblGrid>
      <w:tr>
        <w:trPr>
          <w:tblHeader w:val="true"/>
        </w:trPr>
        <w:tc>
          <w:tcPr>
            <w:tcW w:type="dxa" w:w="5184"/>
            <w:vAlign w:val="top"/>
          </w:tcPr>
          <w:p>
            <w:pPr>
              <w:spacing w:after="20" w:before="0"/>
            </w:pPr>
            <w:r>
              <w:rPr>
                <w:b/>
              </w:rPr>
              <w:t>Second Coder</w:t>
            </w:r>
          </w:p>
        </w:tc>
        <w:tc>
          <w:tcPr>
            <w:tcW w:type="dxa" w:w="5184"/>
            <w:vAlign w:val="top"/>
          </w:tcPr>
          <w:p>
            <w:pPr>
              <w:spacing w:after="20" w:before="0"/>
            </w:pPr>
            <w:r>
              <w:rPr>
                <w:b/>
              </w:rPr>
              <w:t>Benxuan Wang</w:t>
            </w:r>
          </w:p>
        </w:tc>
      </w:tr>
      <w:tr>
        <w:tc>
          <w:tcPr>
            <w:tcW w:type="dxa" w:w="5184"/>
            <w:vAlign w:val="top"/>
          </w:tcPr>
          <w:p>
            <w:pPr>
              <w:spacing w:after="20" w:before="0"/>
            </w:pPr>
            <w:r>
              <w:t>Participant Sample</w:t>
            </w:r>
          </w:p>
        </w:tc>
        <w:tc>
          <w:tcPr>
            <w:tcW w:type="dxa" w:w="5184"/>
            <w:vAlign w:val="top"/>
          </w:tcPr>
          <w:p>
            <w:pPr>
              <w:spacing w:after="20" w:before="0"/>
            </w:pPr>
            <w:r>
              <w:t>P10</w:t>
            </w:r>
          </w:p>
        </w:tc>
      </w:tr>
      <w:tr>
        <w:tc>
          <w:tcPr>
            <w:tcW w:type="dxa" w:w="5184"/>
            <w:vAlign w:val="top"/>
          </w:tcPr>
          <w:p>
            <w:pPr>
              <w:spacing w:after="20" w:before="0"/>
            </w:pPr>
            <w:r>
              <w:t>Independent coding completed before comparison</w:t>
            </w:r>
          </w:p>
        </w:tc>
        <w:tc>
          <w:tcPr>
            <w:tcW w:type="dxa" w:w="5184"/>
            <w:vAlign w:val="top"/>
          </w:tcPr>
          <w:p>
            <w:pPr>
              <w:spacing w:after="20" w:before="0"/>
            </w:pPr>
            <w:r>
              <w:t>Yes</w:t>
            </w:r>
          </w:p>
        </w:tc>
      </w:tr>
      <w:tr>
        <w:tc>
          <w:tcPr>
            <w:tcW w:type="dxa" w:w="5184"/>
            <w:vAlign w:val="top"/>
          </w:tcPr>
          <w:p>
            <w:pPr>
              <w:spacing w:after="20" w:before="0"/>
            </w:pPr>
            <w:r>
              <w:t>Main areas requiring clarification</w:t>
            </w:r>
          </w:p>
        </w:tc>
        <w:tc>
          <w:tcPr>
            <w:tcW w:type="dxa" w:w="5184"/>
            <w:vAlign w:val="top"/>
          </w:tcPr>
          <w:p>
            <w:pPr>
              <w:spacing w:after="20" w:before="0"/>
            </w:pPr>
            <w:r>
              <w:t>Perception vs Cognition; Action vs Cognition; Emotion boundary; use of Does not fit.</w:t>
            </w:r>
          </w:p>
        </w:tc>
      </w:tr>
      <w:tr>
        <w:tc>
          <w:tcPr>
            <w:tcW w:type="dxa" w:w="5184"/>
            <w:vAlign w:val="top"/>
          </w:tcPr>
          <w:p>
            <w:pPr>
              <w:spacing w:after="20" w:before="0"/>
            </w:pPr>
            <w:r>
              <w:t>Outcome</w:t>
            </w:r>
          </w:p>
        </w:tc>
        <w:tc>
          <w:tcPr>
            <w:tcW w:type="dxa" w:w="5184"/>
            <w:vAlign w:val="top"/>
          </w:tcPr>
          <w:p>
            <w:pPr>
              <w:spacing w:after="20" w:before="0"/>
            </w:pPr>
            <w:r>
              <w:t>Working PACE+W definitions tightened; overlapping coding retained where conceptually justified.</w:t>
            </w:r>
          </w:p>
        </w:tc>
      </w:tr>
    </w:tbl>
    <w:sectPr w:rsidR="00FC693F" w:rsidRPr="0006063C" w:rsidSect="00034616">
      <w:footerReference w:type="default" r:id="rId9"/>
      <w:headerReference w:type="default" r:id="rId10"/>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P10 PACE+W Second-Coder Comparison - Yankun Yang &amp; Benxuan Wang</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