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DECO6500 – PACE+W Themes by Committed Evaluation Question</w:t>
      </w:r>
    </w:p>
    <w:p>
      <w:pPr>
        <w:jc w:val="center"/>
      </w:pPr>
      <w:r>
        <w:t>Qualitative Experience Analysis | P01–P16</w:t>
        <w:br/>
        <w:t>Prepared by: Yankun Yang</w:t>
      </w:r>
    </w:p>
    <w:p>
      <w:pPr>
        <w:pStyle w:val="Heading1"/>
      </w:pPr>
      <w:r>
        <w:t>How to Read This Table</w:t>
      </w:r>
    </w:p>
    <w:p>
      <w:r>
        <w:t>Each theme is written as an evidence-bounded claim and includes a short definition, the PACE+W codes that support it, the participants counted, and a named counter-example or boundary case. Participant counts refer to participants whose interview evidence clearly supports the claim; they are not NVivo reference counts. A participant may support more than one theme. For Question 1.2, PACE+W can report perceived reliability concerns but cannot establish technical correctness; that claim must remain bounded until the Technical Check evidence is integrated.</w:t>
      </w:r>
    </w:p>
    <w:p>
      <w:pPr>
        <w:pStyle w:val="Heading1"/>
      </w:pPr>
      <w:r>
        <w:t>1.1 Interaction &amp; Interface</w:t>
      </w:r>
    </w:p>
    <w:p>
      <w:r>
        <w:t>Can a first-time participant complete the disruption-information and option-selection flow without direct assistance?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tblHeader w:val="true"/>
        </w:trPr>
        <w:tc>
          <w:tcPr>
            <w:tcW w:type="dxa" w:w="1776"/>
          </w:tcPr>
          <w:p>
            <w:r>
              <w:rPr>
                <w:b/>
                <w:sz w:val="17"/>
              </w:rPr>
              <w:t>Theme as a Claim</w:t>
            </w:r>
          </w:p>
        </w:tc>
        <w:tc>
          <w:tcPr>
            <w:tcW w:type="dxa" w:w="1776"/>
          </w:tcPr>
          <w:p>
            <w:r>
              <w:rPr>
                <w:b/>
                <w:sz w:val="17"/>
              </w:rPr>
              <w:t>Short Definition</w:t>
            </w:r>
          </w:p>
        </w:tc>
        <w:tc>
          <w:tcPr>
            <w:tcW w:type="dxa" w:w="1776"/>
          </w:tcPr>
          <w:p>
            <w:r>
              <w:rPr>
                <w:b/>
                <w:sz w:val="17"/>
              </w:rPr>
              <w:t>PACE+W Codes</w:t>
            </w:r>
          </w:p>
        </w:tc>
        <w:tc>
          <w:tcPr>
            <w:tcW w:type="dxa" w:w="1776"/>
          </w:tcPr>
          <w:p>
            <w:r>
              <w:rPr>
                <w:b/>
                <w:sz w:val="17"/>
              </w:rPr>
              <w:t>Participants Counted</w:t>
            </w:r>
          </w:p>
        </w:tc>
        <w:tc>
          <w:tcPr>
            <w:tcW w:type="dxa" w:w="1776"/>
          </w:tcPr>
          <w:p>
            <w:r>
              <w:rPr>
                <w:b/>
                <w:sz w:val="17"/>
              </w:rPr>
              <w:t>Counter-example / Boundary Case</w:t>
            </w:r>
          </w:p>
        </w:tc>
        <w:tc>
          <w:tcPr>
            <w:tcW w:type="dxa" w:w="1776"/>
          </w:tcPr>
          <w:p>
            <w:r>
              <w:rPr>
                <w:b/>
                <w:sz w:val="17"/>
              </w:rPr>
              <w:t>Bound</w:t>
            </w:r>
          </w:p>
        </w:tc>
      </w:tr>
      <w:tr>
        <w:tc>
          <w:tcPr>
            <w:tcW w:type="dxa" w:w="1776"/>
            <w:vAlign w:val="top"/>
          </w:tcPr>
          <w:p>
            <w:r>
              <w:t>Information density and unclear comparison can interrupt the first-time decision flow.</w:t>
            </w:r>
          </w:p>
        </w:tc>
        <w:tc>
          <w:tcPr>
            <w:tcW w:type="dxa" w:w="1776"/>
            <w:vAlign w:val="top"/>
          </w:tcPr>
          <w:p>
            <w:r>
              <w:t>Some participants could interpret the journey information, but dense presentation, unclear comparison logic, missing options, or an unclear purpose increased the cognitive work required to progress.</w:t>
            </w:r>
          </w:p>
        </w:tc>
        <w:tc>
          <w:tcPr>
            <w:tcW w:type="dxa" w:w="1776"/>
            <w:vAlign w:val="top"/>
          </w:tcPr>
          <w:p>
            <w:r>
              <w:t>Cognition; Perception</w:t>
            </w:r>
          </w:p>
        </w:tc>
        <w:tc>
          <w:tcPr>
            <w:tcW w:type="dxa" w:w="1776"/>
            <w:vAlign w:val="top"/>
          </w:tcPr>
          <w:p>
            <w:r>
              <w:t>5/16 — P01, P02, P04, P05, P16</w:t>
            </w:r>
          </w:p>
        </w:tc>
        <w:tc>
          <w:tcPr>
            <w:tcW w:type="dxa" w:w="1776"/>
            <w:vAlign w:val="top"/>
          </w:tcPr>
          <w:p>
            <w:r>
              <w:t>P03 reported that the prototype was understandable and could use arrival time, transfers and the map to interpret options.</w:t>
            </w:r>
          </w:p>
        </w:tc>
        <w:tc>
          <w:tcPr>
            <w:tcW w:type="dxa" w:w="1776"/>
            <w:vAlign w:val="top"/>
          </w:tcPr>
          <w:p>
            <w:r>
              <w:t>This theme identifies experience-level barriers; it does not establish formal task completion or the amount of moderator assistance.</w:t>
            </w:r>
          </w:p>
        </w:tc>
      </w:tr>
      <w:tr>
        <w:tc>
          <w:tcPr>
            <w:tcW w:type="dxa" w:w="1776"/>
            <w:vAlign w:val="top"/>
          </w:tcPr>
          <w:p>
            <w:r>
              <w:t>Prioritised recommendations and comparison cues can help users move from information to a next action.</w:t>
            </w:r>
          </w:p>
        </w:tc>
        <w:tc>
          <w:tcPr>
            <w:tcW w:type="dxa" w:w="1776"/>
            <w:vAlign w:val="top"/>
          </w:tcPr>
          <w:p>
            <w:r>
              <w:t>Participants described recommendation reasons, ranked/best options, side-by-side comparison, maps, ETA and transfer information as useful cues for reducing comparison effort and choosing what to do next.</w:t>
            </w:r>
          </w:p>
        </w:tc>
        <w:tc>
          <w:tcPr>
            <w:tcW w:type="dxa" w:w="1776"/>
            <w:vAlign w:val="top"/>
          </w:tcPr>
          <w:p>
            <w:r>
              <w:t>Perception; Cognition; Action</w:t>
            </w:r>
          </w:p>
        </w:tc>
        <w:tc>
          <w:tcPr>
            <w:tcW w:type="dxa" w:w="1776"/>
            <w:vAlign w:val="top"/>
          </w:tcPr>
          <w:p>
            <w:r>
              <w:t>7/16 — P01, P02, P03, P07, P09, P10, P15</w:t>
            </w:r>
          </w:p>
        </w:tc>
        <w:tc>
          <w:tcPr>
            <w:tcW w:type="dxa" w:w="1776"/>
            <w:vAlign w:val="top"/>
          </w:tcPr>
          <w:p>
            <w:r>
              <w:t>P16 found the interface clear but remained uncertain about the prototype's purpose and why it should be chosen over an existing tool.</w:t>
            </w:r>
          </w:p>
        </w:tc>
        <w:tc>
          <w:tcPr>
            <w:tcW w:type="dxa" w:w="1776"/>
            <w:vAlign w:val="top"/>
          </w:tcPr>
          <w:p>
            <w:r>
              <w:t>The theme supports perceived decision support, not independent task-completion success.</w:t>
            </w:r>
          </w:p>
        </w:tc>
      </w:tr>
    </w:tbl>
    <w:p>
      <w:pPr>
        <w:pStyle w:val="Heading1"/>
      </w:pPr>
      <w:r>
        <w:t>1.2 Prototype &amp; Technical</w:t>
      </w:r>
    </w:p>
    <w:p>
      <w:r>
        <w:t>Can the prototype correctly update and present disruption status, journey impacts and alternative options when simulated travel conditions change?</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tblHeader w:val="true"/>
        </w:trPr>
        <w:tc>
          <w:tcPr>
            <w:tcW w:type="dxa" w:w="1776"/>
          </w:tcPr>
          <w:p>
            <w:r>
              <w:rPr>
                <w:b/>
                <w:sz w:val="17"/>
              </w:rPr>
              <w:t>Theme as a Claim</w:t>
            </w:r>
          </w:p>
        </w:tc>
        <w:tc>
          <w:tcPr>
            <w:tcW w:type="dxa" w:w="1776"/>
          </w:tcPr>
          <w:p>
            <w:r>
              <w:rPr>
                <w:b/>
                <w:sz w:val="17"/>
              </w:rPr>
              <w:t>Short Definition</w:t>
            </w:r>
          </w:p>
        </w:tc>
        <w:tc>
          <w:tcPr>
            <w:tcW w:type="dxa" w:w="1776"/>
          </w:tcPr>
          <w:p>
            <w:r>
              <w:rPr>
                <w:b/>
                <w:sz w:val="17"/>
              </w:rPr>
              <w:t>PACE+W Codes</w:t>
            </w:r>
          </w:p>
        </w:tc>
        <w:tc>
          <w:tcPr>
            <w:tcW w:type="dxa" w:w="1776"/>
          </w:tcPr>
          <w:p>
            <w:r>
              <w:rPr>
                <w:b/>
                <w:sz w:val="17"/>
              </w:rPr>
              <w:t>Participants Counted</w:t>
            </w:r>
          </w:p>
        </w:tc>
        <w:tc>
          <w:tcPr>
            <w:tcW w:type="dxa" w:w="1776"/>
          </w:tcPr>
          <w:p>
            <w:r>
              <w:rPr>
                <w:b/>
                <w:sz w:val="17"/>
              </w:rPr>
              <w:t>Counter-example / Boundary Case</w:t>
            </w:r>
          </w:p>
        </w:tc>
        <w:tc>
          <w:tcPr>
            <w:tcW w:type="dxa" w:w="1776"/>
          </w:tcPr>
          <w:p>
            <w:r>
              <w:rPr>
                <w:b/>
                <w:sz w:val="17"/>
              </w:rPr>
              <w:t>Bound</w:t>
            </w:r>
          </w:p>
        </w:tc>
      </w:tr>
      <w:tr>
        <w:tc>
          <w:tcPr>
            <w:tcW w:type="dxa" w:w="1776"/>
            <w:vAlign w:val="top"/>
          </w:tcPr>
          <w:p>
            <w:r>
              <w:t>Perceived freshness and reliability are important to the user experience, but PACE+W cannot establish technical correctness.</w:t>
            </w:r>
          </w:p>
        </w:tc>
        <w:tc>
          <w:tcPr>
            <w:tcW w:type="dxa" w:w="1776"/>
            <w:vAlign w:val="top"/>
          </w:tcPr>
          <w:p>
            <w:r>
              <w:t>Participants raised concerns about latest information, coverage, real-time accuracy, unreliable ETA, or whether alternatives might also be affected. These are perceptions and expectations about system information rather than technical Pass/Fail evidence.</w:t>
            </w:r>
          </w:p>
        </w:tc>
        <w:tc>
          <w:tcPr>
            <w:tcW w:type="dxa" w:w="1776"/>
            <w:vAlign w:val="top"/>
          </w:tcPr>
          <w:p>
            <w:r>
              <w:t>Cognition; Perception; Emotion (only where an explicit felt response was present)</w:t>
            </w:r>
          </w:p>
        </w:tc>
        <w:tc>
          <w:tcPr>
            <w:tcW w:type="dxa" w:w="1776"/>
            <w:vAlign w:val="top"/>
          </w:tcPr>
          <w:p>
            <w:r>
              <w:t>9/16 — P01, P02, P03, P04, P05, P10, P12, P13, P14</w:t>
            </w:r>
          </w:p>
        </w:tc>
        <w:tc>
          <w:tcPr>
            <w:tcW w:type="dxa" w:w="1776"/>
            <w:vAlign w:val="top"/>
          </w:tcPr>
          <w:p>
            <w:r>
              <w:t>P06 could not meaningfully judge disruption behaviour because the tested experience did not demonstrate an actual disruption scenario.</w:t>
            </w:r>
          </w:p>
        </w:tc>
        <w:tc>
          <w:tcPr>
            <w:tcW w:type="dxa" w:w="1776"/>
            <w:vAlign w:val="top"/>
          </w:tcPr>
          <w:p>
            <w:r>
              <w:t>Cannot establish whether updates were technically correct. Final Question 1.2 findings must come from the Technical Check.</w:t>
            </w:r>
          </w:p>
        </w:tc>
      </w:tr>
    </w:tbl>
    <w:p>
      <w:pPr>
        <w:pStyle w:val="Heading1"/>
      </w:pPr>
      <w:r>
        <w:t>2.1 In-context Use</w:t>
      </w:r>
    </w:p>
    <w:p>
      <w:r>
        <w:t>When and why would passengers need this type of disruption support, and what information fits their real travel decision process?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tblHeader w:val="true"/>
        </w:trPr>
        <w:tc>
          <w:tcPr>
            <w:tcW w:type="dxa" w:w="1776"/>
          </w:tcPr>
          <w:p>
            <w:r>
              <w:rPr>
                <w:b/>
                <w:sz w:val="17"/>
              </w:rPr>
              <w:t>Theme as a Claim</w:t>
            </w:r>
          </w:p>
        </w:tc>
        <w:tc>
          <w:tcPr>
            <w:tcW w:type="dxa" w:w="1776"/>
          </w:tcPr>
          <w:p>
            <w:r>
              <w:rPr>
                <w:b/>
                <w:sz w:val="17"/>
              </w:rPr>
              <w:t>Short Definition</w:t>
            </w:r>
          </w:p>
        </w:tc>
        <w:tc>
          <w:tcPr>
            <w:tcW w:type="dxa" w:w="1776"/>
          </w:tcPr>
          <w:p>
            <w:r>
              <w:rPr>
                <w:b/>
                <w:sz w:val="17"/>
              </w:rPr>
              <w:t>PACE+W Codes</w:t>
            </w:r>
          </w:p>
        </w:tc>
        <w:tc>
          <w:tcPr>
            <w:tcW w:type="dxa" w:w="1776"/>
          </w:tcPr>
          <w:p>
            <w:r>
              <w:rPr>
                <w:b/>
                <w:sz w:val="17"/>
              </w:rPr>
              <w:t>Participants Counted</w:t>
            </w:r>
          </w:p>
        </w:tc>
        <w:tc>
          <w:tcPr>
            <w:tcW w:type="dxa" w:w="1776"/>
          </w:tcPr>
          <w:p>
            <w:r>
              <w:rPr>
                <w:b/>
                <w:sz w:val="17"/>
              </w:rPr>
              <w:t>Counter-example / Boundary Case</w:t>
            </w:r>
          </w:p>
        </w:tc>
        <w:tc>
          <w:tcPr>
            <w:tcW w:type="dxa" w:w="1776"/>
          </w:tcPr>
          <w:p>
            <w:r>
              <w:rPr>
                <w:b/>
                <w:sz w:val="17"/>
              </w:rPr>
              <w:t>Bound</w:t>
            </w:r>
          </w:p>
        </w:tc>
      </w:tr>
      <w:tr>
        <w:tc>
          <w:tcPr>
            <w:tcW w:type="dxa" w:w="1776"/>
            <w:vAlign w:val="top"/>
          </w:tcPr>
          <w:p>
            <w:r>
              <w:t>Passengers most clearly want disruption support when a change has a meaningful personal journey consequence.</w:t>
            </w:r>
          </w:p>
        </w:tc>
        <w:tc>
          <w:tcPr>
            <w:tcW w:type="dxa" w:w="1776"/>
            <w:vAlign w:val="top"/>
          </w:tcPr>
          <w:p>
            <w:r>
              <w:t>Support was described as most useful when disruption could make the passenger late, cause a missed connection, require a route change, or otherwise create a real decision point.</w:t>
            </w:r>
          </w:p>
        </w:tc>
        <w:tc>
          <w:tcPr>
            <w:tcW w:type="dxa" w:w="1776"/>
            <w:vAlign w:val="top"/>
          </w:tcPr>
          <w:p>
            <w:r>
              <w:t>Cognition; Action; Perception</w:t>
            </w:r>
          </w:p>
        </w:tc>
        <w:tc>
          <w:tcPr>
            <w:tcW w:type="dxa" w:w="1776"/>
            <w:vAlign w:val="top"/>
          </w:tcPr>
          <w:p>
            <w:r>
              <w:t>12/16 — P01, P02, P03, P06, P07, P08, P09, P10, P11, P12, P13, P15</w:t>
            </w:r>
          </w:p>
        </w:tc>
        <w:tc>
          <w:tcPr>
            <w:tcW w:type="dxa" w:w="1776"/>
            <w:vAlign w:val="top"/>
          </w:tcPr>
          <w:p>
            <w:r>
              <w:t>P14 and P16 also saw some value outside active disruption, particularly for unfamiliar journeys or normal-service comparison.</w:t>
            </w:r>
          </w:p>
        </w:tc>
        <w:tc>
          <w:tcPr>
            <w:tcW w:type="dxa" w:w="1776"/>
            <w:vAlign w:val="top"/>
          </w:tcPr>
          <w:p>
            <w:r>
              <w:t>The evidence supports a disruption-first use case, not a universal claim that the system has no value during normal service.</w:t>
            </w:r>
          </w:p>
        </w:tc>
      </w:tr>
      <w:tr>
        <w:tc>
          <w:tcPr>
            <w:tcW w:type="dxa" w:w="1776"/>
            <w:vAlign w:val="top"/>
          </w:tcPr>
          <w:p>
            <w:r>
              <w:t>Decision-relevant journey information is more useful than generic disruption status alone.</w:t>
            </w:r>
          </w:p>
        </w:tc>
        <w:tc>
          <w:tcPr>
            <w:tcW w:type="dxa" w:w="1776"/>
            <w:vAlign w:val="top"/>
          </w:tcPr>
          <w:p>
            <w:r>
              <w:t>Participants repeatedly focused on information that changes a decision: ETA, delay severity or duration, missed connections, transfers, walking, alternative routes, recommendation reasons and the impact on the passenger's own journey.</w:t>
            </w:r>
          </w:p>
        </w:tc>
        <w:tc>
          <w:tcPr>
            <w:tcW w:type="dxa" w:w="1776"/>
            <w:vAlign w:val="top"/>
          </w:tcPr>
          <w:p>
            <w:r>
              <w:t>Perception; Cognition; Action</w:t>
            </w:r>
          </w:p>
        </w:tc>
        <w:tc>
          <w:tcPr>
            <w:tcW w:type="dxa" w:w="1776"/>
            <w:vAlign w:val="top"/>
          </w:tcPr>
          <w:p>
            <w:r>
              <w:t>12/16 — P01, P02, P03, P07, P08, P09, P10, P11, P12, P13, P14, P15</w:t>
            </w:r>
          </w:p>
        </w:tc>
        <w:tc>
          <w:tcPr>
            <w:tcW w:type="dxa" w:w="1776"/>
            <w:vAlign w:val="top"/>
          </w:tcPr>
          <w:p>
            <w:r>
              <w:t>P04 and P05 were dominated by missing-route/comparison and prototype-coverage problems, limiting the extent to which the intended disruption information could be evaluated.</w:t>
            </w:r>
          </w:p>
        </w:tc>
        <w:tc>
          <w:tcPr>
            <w:tcW w:type="dxa" w:w="1776"/>
            <w:vAlign w:val="top"/>
          </w:tcPr>
          <w:p>
            <w:r>
              <w:t>The theme identifies the kinds of information participants described as useful; it does not imply that every participant prioritised the same information.</w:t>
            </w:r>
          </w:p>
        </w:tc>
      </w:tr>
    </w:tbl>
    <w:p>
      <w:pPr>
        <w:pStyle w:val="Heading1"/>
      </w:pPr>
      <w:r>
        <w:t>2.2 Human Needs</w:t>
      </w:r>
    </w:p>
    <w:p>
      <w:r>
        <w:t>Do passengers perceive the disruption decision-support prototype as useful and easy to use when making travel decisions during service disruptions?</w:t>
      </w:r>
    </w:p>
    <w:tbl>
      <w:tblPr>
        <w:tblStyle w:val="TableGrid"/>
        <w:tblW w:type="auto" w:w="0"/>
        <w:jc w:val="center"/>
        <w:tblLook w:firstColumn="1" w:firstRow="1" w:lastColumn="0" w:lastRow="0" w:noHBand="0" w:noVBand="1" w:val="04A0"/>
      </w:tblPr>
      <w:tblGrid>
        <w:gridCol w:w="1776"/>
        <w:gridCol w:w="1776"/>
        <w:gridCol w:w="1776"/>
        <w:gridCol w:w="1776"/>
        <w:gridCol w:w="1776"/>
        <w:gridCol w:w="1776"/>
      </w:tblGrid>
      <w:tr>
        <w:trPr>
          <w:tblHeader w:val="true"/>
        </w:trPr>
        <w:tc>
          <w:tcPr>
            <w:tcW w:type="dxa" w:w="1776"/>
          </w:tcPr>
          <w:p>
            <w:r>
              <w:rPr>
                <w:b/>
                <w:sz w:val="17"/>
              </w:rPr>
              <w:t>Theme as a Claim</w:t>
            </w:r>
          </w:p>
        </w:tc>
        <w:tc>
          <w:tcPr>
            <w:tcW w:type="dxa" w:w="1776"/>
          </w:tcPr>
          <w:p>
            <w:r>
              <w:rPr>
                <w:b/>
                <w:sz w:val="17"/>
              </w:rPr>
              <w:t>Short Definition</w:t>
            </w:r>
          </w:p>
        </w:tc>
        <w:tc>
          <w:tcPr>
            <w:tcW w:type="dxa" w:w="1776"/>
          </w:tcPr>
          <w:p>
            <w:r>
              <w:rPr>
                <w:b/>
                <w:sz w:val="17"/>
              </w:rPr>
              <w:t>PACE+W Codes</w:t>
            </w:r>
          </w:p>
        </w:tc>
        <w:tc>
          <w:tcPr>
            <w:tcW w:type="dxa" w:w="1776"/>
          </w:tcPr>
          <w:p>
            <w:r>
              <w:rPr>
                <w:b/>
                <w:sz w:val="17"/>
              </w:rPr>
              <w:t>Participants Counted</w:t>
            </w:r>
          </w:p>
        </w:tc>
        <w:tc>
          <w:tcPr>
            <w:tcW w:type="dxa" w:w="1776"/>
          </w:tcPr>
          <w:p>
            <w:r>
              <w:rPr>
                <w:b/>
                <w:sz w:val="17"/>
              </w:rPr>
              <w:t>Counter-example / Boundary Case</w:t>
            </w:r>
          </w:p>
        </w:tc>
        <w:tc>
          <w:tcPr>
            <w:tcW w:type="dxa" w:w="1776"/>
          </w:tcPr>
          <w:p>
            <w:r>
              <w:rPr>
                <w:b/>
                <w:sz w:val="17"/>
              </w:rPr>
              <w:t>Bound</w:t>
            </w:r>
          </w:p>
        </w:tc>
      </w:tr>
      <w:tr>
        <w:tc>
          <w:tcPr>
            <w:tcW w:type="dxa" w:w="1776"/>
            <w:vAlign w:val="top"/>
          </w:tcPr>
          <w:p>
            <w:r>
              <w:t>Structured recommendations can reduce decision effort without removing the passenger's control.</w:t>
            </w:r>
          </w:p>
        </w:tc>
        <w:tc>
          <w:tcPr>
            <w:tcW w:type="dxa" w:w="1776"/>
            <w:vAlign w:val="top"/>
          </w:tcPr>
          <w:p>
            <w:r>
              <w:t>Recommendation reasons, side-by-side options, rankings and clear comparison parameters gave participants a starting point for decision-making while still allowing them to judge trade-offs themselves.</w:t>
            </w:r>
          </w:p>
        </w:tc>
        <w:tc>
          <w:tcPr>
            <w:tcW w:type="dxa" w:w="1776"/>
            <w:vAlign w:val="top"/>
          </w:tcPr>
          <w:p>
            <w:r>
              <w:t>Cognition; Perception; Action</w:t>
            </w:r>
          </w:p>
        </w:tc>
        <w:tc>
          <w:tcPr>
            <w:tcW w:type="dxa" w:w="1776"/>
            <w:vAlign w:val="top"/>
          </w:tcPr>
          <w:p>
            <w:r>
              <w:t>7/16 — P01, P02, P03, P07, P09, P10, P15</w:t>
            </w:r>
          </w:p>
        </w:tc>
        <w:tc>
          <w:tcPr>
            <w:tcW w:type="dxa" w:w="1776"/>
            <w:vAlign w:val="top"/>
          </w:tcPr>
          <w:p>
            <w:r>
              <w:t>P15 valued ranking as a starting point but explicitly did not want to accept it blindly, showing that recommendation support should preserve user judgement.</w:t>
            </w:r>
          </w:p>
        </w:tc>
        <w:tc>
          <w:tcPr>
            <w:tcW w:type="dxa" w:w="1776"/>
            <w:vAlign w:val="top"/>
          </w:tcPr>
          <w:p>
            <w:r>
              <w:t>This is qualitative evidence about experienced usefulness/ease; the final PU/PEOU claim still requires the TAM results.</w:t>
            </w:r>
          </w:p>
        </w:tc>
      </w:tr>
      <w:tr>
        <w:tc>
          <w:tcPr>
            <w:tcW w:type="dxa" w:w="1776"/>
            <w:vAlign w:val="top"/>
          </w:tcPr>
          <w:p>
            <w:r>
              <w:t>Perceived usefulness depends partly on whether the prototype offers a clear advantage over familiar travel tools.</w:t>
            </w:r>
          </w:p>
        </w:tc>
        <w:tc>
          <w:tcPr>
            <w:tcW w:type="dxa" w:w="1776"/>
            <w:vAlign w:val="top"/>
          </w:tcPr>
          <w:p>
            <w:r>
              <w:t>Participants compared the prototype with Google Maps or their existing information workflow. Consolidated disruption information and journey-specific support could add value, but unclear differentiation reduced perceived usefulness for some participants.</w:t>
            </w:r>
          </w:p>
        </w:tc>
        <w:tc>
          <w:tcPr>
            <w:tcW w:type="dxa" w:w="1776"/>
            <w:vAlign w:val="top"/>
          </w:tcPr>
          <w:p>
            <w:r>
              <w:t>Cognition; Perception</w:t>
            </w:r>
          </w:p>
        </w:tc>
        <w:tc>
          <w:tcPr>
            <w:tcW w:type="dxa" w:w="1776"/>
            <w:vAlign w:val="top"/>
          </w:tcPr>
          <w:p>
            <w:r>
              <w:t>9/16 — P07, P08, P09, P10, P11, P12, P13, P14, P16</w:t>
            </w:r>
          </w:p>
        </w:tc>
        <w:tc>
          <w:tcPr>
            <w:tcW w:type="dxa" w:w="1776"/>
            <w:vAlign w:val="top"/>
          </w:tcPr>
          <w:p>
            <w:r>
              <w:t>P08 preferred integration with an existing tool rather than necessarily using a separate disruption-support application.</w:t>
            </w:r>
          </w:p>
        </w:tc>
        <w:tc>
          <w:tcPr>
            <w:tcW w:type="dxa" w:w="1776"/>
            <w:vAlign w:val="top"/>
          </w:tcPr>
          <w:p>
            <w:r>
              <w:t>The evidence supports a conditional usefulness claim; it does not establish preference for this prototype over existing tools.</w:t>
            </w:r>
          </w:p>
        </w:tc>
      </w:tr>
      <w:tr>
        <w:tc>
          <w:tcPr>
            <w:tcW w:type="dxa" w:w="1776"/>
            <w:vAlign w:val="top"/>
          </w:tcPr>
          <w:p>
            <w:r>
              <w:t>Ease of use is weakened when information is dense, comparison is unclear, or the prototype's purpose is uncertain.</w:t>
            </w:r>
          </w:p>
        </w:tc>
        <w:tc>
          <w:tcPr>
            <w:tcW w:type="dxa" w:w="1776"/>
            <w:vAlign w:val="top"/>
          </w:tcPr>
          <w:p>
            <w:r>
              <w:t>Several participants described early screens as busy or confusing, found comparison limited or unclear, or understood the interface but were unsure why the product was needed.</w:t>
            </w:r>
          </w:p>
        </w:tc>
        <w:tc>
          <w:tcPr>
            <w:tcW w:type="dxa" w:w="1776"/>
            <w:vAlign w:val="top"/>
          </w:tcPr>
          <w:p>
            <w:r>
              <w:t>Cognition; Perception; Emotion (where explicit frustration/confusion was expressed)</w:t>
            </w:r>
          </w:p>
        </w:tc>
        <w:tc>
          <w:tcPr>
            <w:tcW w:type="dxa" w:w="1776"/>
            <w:vAlign w:val="top"/>
          </w:tcPr>
          <w:p>
            <w:r>
              <w:t>5/16 — P01, P02, P04, P05, P16</w:t>
            </w:r>
          </w:p>
        </w:tc>
        <w:tc>
          <w:tcPr>
            <w:tcW w:type="dxa" w:w="1776"/>
            <w:vAlign w:val="top"/>
          </w:tcPr>
          <w:p>
            <w:r>
              <w:t>P03 described the prototype as understandable and was able to use the displayed journey information to interpret alternatives.</w:t>
            </w:r>
          </w:p>
        </w:tc>
        <w:tc>
          <w:tcPr>
            <w:tcW w:type="dxa" w:w="1776"/>
            <w:vAlign w:val="top"/>
          </w:tcPr>
          <w:p>
            <w:r>
              <w:t>This theme explains qualitative ease-of-use barriers. It should be integrated with, not substituted for, the TAM PEOU results.</w:t>
            </w:r>
          </w:p>
        </w:tc>
      </w:tr>
    </w:tbl>
    <w:p>
      <w:pPr>
        <w:pStyle w:val="Heading1"/>
      </w:pPr>
      <w:r>
        <w:t>Cross-Question Interpretation</w:t>
      </w:r>
    </w:p>
    <w:p>
      <w:r>
        <w:t>Across the four committed questions, Cognition is the dominant PACE+W dimension because participants frequently reasoned about journey consequences, trade-offs, thresholds, alternatives and the information needed for a decision. Perception commonly overlaps where the usefulness of displayed information is discussed, and Action appears when participants describe what they would do next. Emotion should remain conservative and be used only for explicit felt responses. Explicit Wellbeing evidence is too limited to justify a standalone cross-participant theme.</w:t>
      </w:r>
    </w:p>
    <w:p>
      <w:pPr>
        <w:pStyle w:val="Heading1"/>
      </w:pPr>
      <w:r>
        <w:t>Use in the Week 8 Integration Table</w:t>
      </w:r>
    </w:p>
    <w:p>
      <w:r>
        <w:t>These themes are the PACE+W qualitative contribution to the committed questions. In the team integration table, pair them with the corresponding quantitative or other qualitative evidence. Question 1.2 must not be converted into a technical correctness claim from PACE+W alone. Question 2.2 should be paired with the TAM PU/PEOU results.</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