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7DF7">
      <w:pPr>
        <w:pStyle w:val="31"/>
      </w:pPr>
      <w:bookmarkStart w:id="0" w:name="_GoBack"/>
      <w:bookmarkEnd w:id="0"/>
      <w:r>
        <w:t>Layer 1.2 Technical Check — Prototype Behaviour Sheet</w:t>
      </w:r>
    </w:p>
    <w:p w14:paraId="2DC2CA6D">
      <w:r>
        <w:rPr>
          <w:i/>
          <w:sz w:val="20"/>
        </w:rPr>
        <w:t>Self-designed technical check required because the DECO6500 Toolbox does not provide a Layer 1.2 method.</w:t>
      </w:r>
    </w:p>
    <w:p w14:paraId="48760CDA">
      <w:pPr>
        <w:pStyle w:val="3"/>
      </w:pPr>
      <w:r>
        <w:t>Purpose</w:t>
      </w:r>
    </w:p>
    <w:p w14:paraId="1ABD029E">
      <w:r>
        <w:t>Verify that the prototype behaves as intended before interpreting participant behaviour. Run this check before user sessions and repeat after any major prototype change.</w:t>
      </w:r>
    </w:p>
    <w:p w14:paraId="1D6D2625">
      <w:pPr>
        <w:pStyle w:val="3"/>
      </w:pPr>
      <w:r>
        <w:t>Core test cases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424"/>
        <w:gridCol w:w="2424"/>
        <w:gridCol w:w="2424"/>
        <w:gridCol w:w="2424"/>
        <w:gridCol w:w="2424"/>
      </w:tblGrid>
      <w:tr w14:paraId="1C05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E9D21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47FF1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04B65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B97D9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24431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DBEA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14:paraId="6F37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E74377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4A6658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EBEE5F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80ADBE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Delay scenario tested. Disruption status appeared correctly; current journey remained visible; alternatives and recommendations were available and usable.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71E2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19055A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CCB583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F92BE4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908E9C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 small-delay/no-change judgement was discussed and the current journey could remain viable; no unnecessary technical rerouting problem was observed.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714A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32257C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C846E6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3A61FA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C4E3DB1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Early-service condition was not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3D4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E6586C">
            <w:pPr>
              <w:spacing w:after="0" w:line="240" w:lineRule="auto"/>
            </w:pPr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BE5D21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E6B7EC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4E51FD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Cancellation was tested. The participant saw the cancellation and the system moved to viable alternative choices for comparison.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5A52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0A1059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1F71D4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F0098A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C4BF5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Changing travel priority changed recommendation ordering consistently; Faster travel and Fewer transfers produced different preferred options.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060F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83BD34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6F0810A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6A16EE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38AAD2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Tested. During the delay condition, the current journey remained available/viable when appropriate rather than forcing an unnecessary switch.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2B1F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3FF45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9DE7E6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D5938A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E730FD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Return-to-normal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800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1D8E5E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45FED3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02455A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6BEA0B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Missing/unexpected-input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</w:tbl>
    <w:p w14:paraId="47F629B4">
      <w:pPr>
        <w:pStyle w:val="3"/>
      </w:pPr>
      <w:r>
        <w:t>Failure visibility and limits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0CDD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D90A4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5AEC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14:paraId="1FDD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F7BA62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invisible technical failure was observed during the tested delay, priority-change and cancellation flows.</w:t>
            </w:r>
          </w:p>
        </w:tc>
      </w:tr>
      <w:tr w14:paraId="5256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149AA7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failure was observed that could be mistaken for a user error.</w:t>
            </w:r>
          </w:p>
        </w:tc>
      </w:tr>
      <w:tr w14:paraId="51AF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826A3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TC03, TC07 and TC08 were not explicitly tested in this session.</w:t>
            </w:r>
          </w:p>
        </w:tc>
      </w:tr>
      <w:tr w14:paraId="4574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F9605D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bug was observed in the tested flows. The participant did express uncertainty about how recently disruption data were updated and whether a chosen alternative could later become delayed; these are information/reliability concerns rather than observed malfunctions.</w:t>
            </w:r>
          </w:p>
        </w:tc>
      </w:tr>
      <w:tr w14:paraId="38BE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CD27D2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Updated prototype with map, recommendation reasons and travel priorities; exact build/version not recorded.</w:t>
            </w:r>
          </w:p>
        </w:tc>
      </w:tr>
    </w:tbl>
    <w:p w14:paraId="1071AB55">
      <w:pPr>
        <w:pStyle w:val="3"/>
      </w:pPr>
      <w:r>
        <w:t>Release gate before participant testing</w:t>
      </w:r>
    </w:p>
    <w:p w14:paraId="439CD8A4">
      <w:pPr>
        <w:pStyle w:val="16"/>
      </w:pPr>
      <w:r>
        <w:t>☐ All critical core-flow cases pass.</w:t>
      </w:r>
    </w:p>
    <w:p w14:paraId="51B9F50B">
      <w:pPr>
        <w:pStyle w:val="16"/>
      </w:pPr>
      <w:r>
        <w:t>☐ Known limitations are documented for moderators.</w:t>
      </w:r>
    </w:p>
    <w:p w14:paraId="1F939959">
      <w:pPr>
        <w:pStyle w:val="16"/>
      </w:pPr>
      <w:r>
        <w:t>☐ Any failure that could invalidate participant interpretation has been fixed or excluded from the test scenarios.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14D4F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2030</Characters>
  <Lines>0</Lines>
  <Paragraphs>0</Paragraphs>
  <TotalTime>0</TotalTime>
  <ScaleCrop>false</ScaleCrop>
  <LinksUpToDate>false</LinksUpToDate>
  <CharactersWithSpaces>2325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