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DECO6500 – Systemic Question Register</w:t>
      </w:r>
    </w:p>
    <w:p>
      <w:pPr>
        <w:jc w:val="center"/>
      </w:pPr>
      <w:r>
        <w:rPr>
          <w:i/>
        </w:rPr>
        <w:t>Week 8 A2 → A3 Handover</w:t>
      </w:r>
    </w:p>
    <w:p>
      <w:r>
        <w:t>This register records the systemic question that remains unresolved after A2 integration. It is intentionally limited to the finding that the current evidence cannot establish.</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tcPr>
          <w:p>
            <w:r>
              <w:rPr>
                <w:rFonts w:ascii="Arial" w:hAnsi="Arial"/>
                <w:b/>
                <w:sz w:val="16"/>
              </w:rPr>
              <w:t>Systemic Question</w:t>
            </w:r>
          </w:p>
        </w:tc>
        <w:tc>
          <w:tcPr>
            <w:tcW w:type="dxa" w:w="1461"/>
            <w:vAlign w:val="center"/>
          </w:tcPr>
          <w:p>
            <w:r>
              <w:rPr>
                <w:rFonts w:ascii="Arial" w:hAnsi="Arial"/>
                <w:b/>
                <w:sz w:val="16"/>
              </w:rPr>
              <w:t>Origin</w:t>
            </w:r>
          </w:p>
        </w:tc>
        <w:tc>
          <w:tcPr>
            <w:tcW w:type="dxa" w:w="1461"/>
            <w:vAlign w:val="center"/>
          </w:tcPr>
          <w:p>
            <w:r>
              <w:rPr>
                <w:rFonts w:ascii="Arial" w:hAnsi="Arial"/>
                <w:b/>
                <w:sz w:val="16"/>
              </w:rPr>
              <w:t>Status</w:t>
            </w:r>
          </w:p>
        </w:tc>
        <w:tc>
          <w:tcPr>
            <w:tcW w:type="dxa" w:w="1461"/>
            <w:vAlign w:val="center"/>
          </w:tcPr>
          <w:p>
            <w:r>
              <w:rPr>
                <w:rFonts w:ascii="Arial" w:hAnsi="Arial"/>
                <w:b/>
                <w:sz w:val="16"/>
              </w:rPr>
              <w:t>Why It Matters</w:t>
            </w:r>
          </w:p>
        </w:tc>
        <w:tc>
          <w:tcPr>
            <w:tcW w:type="dxa" w:w="1461"/>
            <w:vAlign w:val="center"/>
          </w:tcPr>
          <w:p>
            <w:r>
              <w:rPr>
                <w:rFonts w:ascii="Arial" w:hAnsi="Arial"/>
                <w:b/>
                <w:sz w:val="16"/>
              </w:rPr>
              <w:t>What A2 Evidence Establishes</w:t>
            </w:r>
          </w:p>
        </w:tc>
        <w:tc>
          <w:tcPr>
            <w:tcW w:type="dxa" w:w="1461"/>
            <w:vAlign w:val="center"/>
          </w:tcPr>
          <w:p>
            <w:r>
              <w:rPr>
                <w:rFonts w:ascii="Arial" w:hAnsi="Arial"/>
                <w:b/>
                <w:sz w:val="16"/>
              </w:rPr>
              <w:t>Why A2 Cannot Establish It</w:t>
            </w:r>
          </w:p>
        </w:tc>
        <w:tc>
          <w:tcPr>
            <w:tcW w:type="dxa" w:w="1461"/>
            <w:vAlign w:val="center"/>
          </w:tcPr>
          <w:p>
            <w:r>
              <w:rPr>
                <w:rFonts w:ascii="Arial" w:hAnsi="Arial"/>
                <w:b/>
                <w:sz w:val="16"/>
              </w:rPr>
              <w:t>A3 Handover / Evidence Needed</w:t>
            </w:r>
          </w:p>
        </w:tc>
      </w:tr>
      <w:tr>
        <w:tc>
          <w:tcPr>
            <w:tcW w:type="dxa" w:w="1461"/>
            <w:vAlign w:val="top"/>
          </w:tcPr>
          <w:p>
            <w:r>
              <w:rPr>
                <w:rFonts w:ascii="Arial" w:hAnsi="Arial"/>
                <w:sz w:val="16"/>
              </w:rPr>
              <w:t>Can disruption information and route recommendations remain technically correct, current and reliable across a wider range of real-world service changes?</w:t>
            </w:r>
          </w:p>
        </w:tc>
        <w:tc>
          <w:tcPr>
            <w:tcW w:type="dxa" w:w="1461"/>
            <w:vAlign w:val="top"/>
          </w:tcPr>
          <w:p>
            <w:r>
              <w:rPr>
                <w:rFonts w:ascii="Arial" w:hAnsi="Arial"/>
                <w:sz w:val="16"/>
              </w:rPr>
              <w:t>1.2 Prototype &amp; Technical</w:t>
            </w:r>
          </w:p>
        </w:tc>
        <w:tc>
          <w:tcPr>
            <w:tcW w:type="dxa" w:w="1461"/>
            <w:vAlign w:val="top"/>
          </w:tcPr>
          <w:p>
            <w:r>
              <w:rPr>
                <w:rFonts w:ascii="Arial" w:hAnsi="Arial"/>
                <w:sz w:val="16"/>
              </w:rPr>
              <w:t>More consequential</w:t>
            </w:r>
          </w:p>
        </w:tc>
        <w:tc>
          <w:tcPr>
            <w:tcW w:type="dxa" w:w="1461"/>
            <w:vAlign w:val="top"/>
          </w:tcPr>
          <w:p>
            <w:r>
              <w:rPr>
                <w:rFonts w:ascii="Arial" w:hAnsi="Arial"/>
                <w:sz w:val="16"/>
              </w:rPr>
              <w:t>Passengers depend on current and reliable disruption information when deciding whether to continue, wait or change routes. Incorrect or stale information could undermine trust and lead to unsuitable travel decisions.</w:t>
            </w:r>
          </w:p>
        </w:tc>
        <w:tc>
          <w:tcPr>
            <w:tcW w:type="dxa" w:w="1461"/>
            <w:vAlign w:val="top"/>
          </w:tcPr>
          <w:p>
            <w:r>
              <w:rPr>
                <w:rFonts w:ascii="Arial" w:hAnsi="Arial"/>
                <w:sz w:val="16"/>
              </w:rPr>
              <w:t>The qualitative analyses identify recurring expectations around information freshness, reliability, downstream journey-impact updates and alternative-route validity. They also identify missing routes and weak disruption scenarios as limitations on evaluation.</w:t>
            </w:r>
          </w:p>
        </w:tc>
        <w:tc>
          <w:tcPr>
            <w:tcW w:type="dxa" w:w="1461"/>
            <w:vAlign w:val="top"/>
          </w:tcPr>
          <w:p>
            <w:r>
              <w:rPr>
                <w:rFonts w:ascii="Arial" w:hAnsi="Arial"/>
                <w:sz w:val="16"/>
              </w:rPr>
              <w:t>CANNOT ESTABLISH. The integrated evidence does not provide sufficient technical Pass/Fail evidence to verify correctness across the planned conditions. Participant perceptions of reliability cannot substitute for technical system verification.</w:t>
            </w:r>
          </w:p>
        </w:tc>
        <w:tc>
          <w:tcPr>
            <w:tcW w:type="dxa" w:w="1461"/>
            <w:vAlign w:val="top"/>
          </w:tcPr>
          <w:p>
            <w:r>
              <w:rPr>
                <w:rFonts w:ascii="Arial" w:hAnsi="Arial"/>
                <w:sz w:val="16"/>
              </w:rPr>
              <w:t>A3 should use broader, explicitly recorded technical testing covering changing disruption states, downstream ETA/journey-impact updates, alternative-route validity, missing or unexpected inputs, and recovery/return-to-normal conditions.</w:t>
            </w:r>
          </w:p>
        </w:tc>
      </w:tr>
    </w:tbl>
    <w:p>
      <w:pPr>
        <w:pStyle w:val="Heading1"/>
      </w:pPr>
      <w:r>
        <w:t>Register Annotation</w:t>
      </w:r>
    </w:p>
    <w:p>
      <w:r>
        <w:rPr>
          <w:b/>
        </w:rPr>
        <w:t>Status: More consequential</w:t>
      </w:r>
    </w:p>
    <w:p>
      <w:r>
        <w:t>A2 made this question more consequential because participants repeatedly relied on the perceived freshness and reliability of disruption information when evaluating alternatives, while the evaluation itself could not technically verify correctness across all relevant conditions.</w:t>
      </w:r>
    </w:p>
    <w:p>
      <w:pPr>
        <w:pStyle w:val="Heading1"/>
      </w:pPr>
      <w:r>
        <w:t>Bounded A2 Finding</w:t>
      </w:r>
    </w:p>
    <w:p>
      <w:r>
        <w:t>The current integrated evidence cannot establish whether the prototype technically updated disruption status, journey impacts and alternatives correctly, because participant perceptions of freshness and reliability do not constitute technical verification across all planned conditions.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