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DECO6500 – Claim-Strength Check</w:t>
      </w:r>
    </w:p>
    <w:p>
      <w:pPr>
        <w:jc w:val="center"/>
      </w:pPr>
      <w:r>
        <w:rPr>
          <w:i/>
        </w:rPr>
        <w:t>Week 8 Integration Review</w:t>
      </w:r>
    </w:p>
    <w:p>
      <w:r>
        <w:t>Purpose: compare the prospective/planned claim for each committed evaluation question with what the integrated A2 evidence can now support. The final claim is deliberately bounded using the Week 8 register language: suggests or cannot establish.</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tcPr>
          <w:p>
            <w:r>
              <w:rPr>
                <w:rFonts w:ascii="Arial" w:hAnsi="Arial"/>
                <w:b/>
                <w:sz w:val="16"/>
              </w:rPr>
              <w:t>Question</w:t>
            </w:r>
          </w:p>
        </w:tc>
        <w:tc>
          <w:tcPr>
            <w:tcW w:type="dxa" w:w="2045"/>
          </w:tcPr>
          <w:p>
            <w:r>
              <w:rPr>
                <w:rFonts w:ascii="Arial" w:hAnsi="Arial"/>
                <w:b/>
                <w:sz w:val="16"/>
              </w:rPr>
              <w:t>Prospective / Planned Claim</w:t>
            </w:r>
          </w:p>
        </w:tc>
        <w:tc>
          <w:tcPr>
            <w:tcW w:type="dxa" w:w="2045"/>
          </w:tcPr>
          <w:p>
            <w:r>
              <w:rPr>
                <w:rFonts w:ascii="Arial" w:hAnsi="Arial"/>
                <w:b/>
                <w:sz w:val="16"/>
              </w:rPr>
              <w:t>Evidence Now Supports</w:t>
            </w:r>
          </w:p>
        </w:tc>
        <w:tc>
          <w:tcPr>
            <w:tcW w:type="dxa" w:w="2045"/>
          </w:tcPr>
          <w:p>
            <w:r>
              <w:rPr>
                <w:rFonts w:ascii="Arial" w:hAnsi="Arial"/>
                <w:b/>
                <w:sz w:val="16"/>
              </w:rPr>
              <w:t>Gap / Limitation</w:t>
            </w:r>
          </w:p>
        </w:tc>
        <w:tc>
          <w:tcPr>
            <w:tcW w:type="dxa" w:w="2045"/>
          </w:tcPr>
          <w:p>
            <w:r>
              <w:rPr>
                <w:rFonts w:ascii="Arial" w:hAnsi="Arial"/>
                <w:b/>
                <w:sz w:val="16"/>
              </w:rPr>
              <w:t>Final Strength</w:t>
            </w:r>
          </w:p>
        </w:tc>
      </w:tr>
      <w:tr>
        <w:tc>
          <w:tcPr>
            <w:tcW w:type="dxa" w:w="2045"/>
            <w:vAlign w:val="top"/>
          </w:tcPr>
          <w:p>
            <w:r>
              <w:rPr>
                <w:rFonts w:ascii="Arial" w:hAnsi="Arial"/>
                <w:sz w:val="16"/>
              </w:rPr>
              <w:t>1.1 Interaction &amp; Interface</w:t>
            </w:r>
          </w:p>
        </w:tc>
        <w:tc>
          <w:tcPr>
            <w:tcW w:type="dxa" w:w="2045"/>
            <w:vAlign w:val="top"/>
          </w:tcPr>
          <w:p>
            <w:r>
              <w:rPr>
                <w:rFonts w:ascii="Arial" w:hAnsi="Arial"/>
                <w:sz w:val="16"/>
              </w:rPr>
              <w:t>First-time users can operate the core disruption-information and option-selection flow and reach a viable next action without direct assistance.</w:t>
            </w:r>
          </w:p>
        </w:tc>
        <w:tc>
          <w:tcPr>
            <w:tcW w:type="dxa" w:w="2045"/>
            <w:vAlign w:val="top"/>
          </w:tcPr>
          <w:p>
            <w:r>
              <w:rPr>
                <w:rFonts w:ascii="Arial" w:hAnsi="Arial"/>
                <w:sz w:val="16"/>
              </w:rPr>
              <w:t>Most participants could independently complete the flow: 15/16 completed unaided and all 16 reached a viable final action. Qualitative evidence across Inductive, Nielsen and PACE+W nevertheless shows that information density and unclear comparison increased effort for some participants.</w:t>
            </w:r>
          </w:p>
        </w:tc>
        <w:tc>
          <w:tcPr>
            <w:tcW w:type="dxa" w:w="2045"/>
            <w:vAlign w:val="top"/>
          </w:tcPr>
          <w:p>
            <w:r>
              <w:rPr>
                <w:rFonts w:ascii="Arial" w:hAnsi="Arial"/>
                <w:sz w:val="16"/>
              </w:rPr>
              <w:t>Completion does not establish that interaction was effortless or universally intuitive. The sample contained 16 moderate/high-frequency public-transport users, and the result is bounded to the tested prototype and scenarios.</w:t>
            </w:r>
          </w:p>
        </w:tc>
        <w:tc>
          <w:tcPr>
            <w:tcW w:type="dxa" w:w="2045"/>
            <w:vAlign w:val="top"/>
          </w:tcPr>
          <w:p>
            <w:r>
              <w:rPr>
                <w:rFonts w:ascii="Arial" w:hAnsi="Arial"/>
                <w:sz w:val="16"/>
              </w:rPr>
              <w:t>SUGGESTS</w:t>
            </w:r>
          </w:p>
        </w:tc>
      </w:tr>
      <w:tr>
        <w:tc>
          <w:tcPr>
            <w:tcW w:type="dxa" w:w="2045"/>
            <w:vAlign w:val="top"/>
          </w:tcPr>
          <w:p>
            <w:r>
              <w:rPr>
                <w:rFonts w:ascii="Arial" w:hAnsi="Arial"/>
                <w:sz w:val="16"/>
              </w:rPr>
              <w:t>1.2 Prototype &amp; Technical</w:t>
            </w:r>
          </w:p>
        </w:tc>
        <w:tc>
          <w:tcPr>
            <w:tcW w:type="dxa" w:w="2045"/>
            <w:vAlign w:val="top"/>
          </w:tcPr>
          <w:p>
            <w:r>
              <w:rPr>
                <w:rFonts w:ascii="Arial" w:hAnsi="Arial"/>
                <w:sz w:val="16"/>
              </w:rPr>
              <w:t>The prototype correctly updates and presents disruption status, journey impacts and alternative options when simulated travel conditions change.</w:t>
            </w:r>
          </w:p>
        </w:tc>
        <w:tc>
          <w:tcPr>
            <w:tcW w:type="dxa" w:w="2045"/>
            <w:vAlign w:val="top"/>
          </w:tcPr>
          <w:p>
            <w:r>
              <w:rPr>
                <w:rFonts w:ascii="Arial" w:hAnsi="Arial"/>
                <w:sz w:val="16"/>
              </w:rPr>
              <w:t>The qualitative strands consistently identify what participants expected from technically reliable support: fresh/current information, downstream journey-impact updates, valid alternatives and adequate route coverage.</w:t>
            </w:r>
          </w:p>
        </w:tc>
        <w:tc>
          <w:tcPr>
            <w:tcW w:type="dxa" w:w="2045"/>
            <w:vAlign w:val="top"/>
          </w:tcPr>
          <w:p>
            <w:r>
              <w:rPr>
                <w:rFonts w:ascii="Arial" w:hAnsi="Arial"/>
                <w:sz w:val="16"/>
              </w:rPr>
              <w:t>The supplied integrated analysis does not contain sufficient technical Pass/Fail evidence to verify update correctness across the planned conditions. Participant perceptions cannot substitute for technical verification.</w:t>
            </w:r>
          </w:p>
        </w:tc>
        <w:tc>
          <w:tcPr>
            <w:tcW w:type="dxa" w:w="2045"/>
            <w:vAlign w:val="top"/>
          </w:tcPr>
          <w:p>
            <w:r>
              <w:rPr>
                <w:rFonts w:ascii="Arial" w:hAnsi="Arial"/>
                <w:sz w:val="16"/>
              </w:rPr>
              <w:t>CANNOT ESTABLISH</w:t>
            </w:r>
          </w:p>
        </w:tc>
      </w:tr>
      <w:tr>
        <w:tc>
          <w:tcPr>
            <w:tcW w:type="dxa" w:w="2045"/>
            <w:vAlign w:val="top"/>
          </w:tcPr>
          <w:p>
            <w:r>
              <w:rPr>
                <w:rFonts w:ascii="Arial" w:hAnsi="Arial"/>
                <w:sz w:val="16"/>
              </w:rPr>
              <w:t>2.1 In-context Use</w:t>
            </w:r>
          </w:p>
        </w:tc>
        <w:tc>
          <w:tcPr>
            <w:tcW w:type="dxa" w:w="2045"/>
            <w:vAlign w:val="top"/>
          </w:tcPr>
          <w:p>
            <w:r>
              <w:rPr>
                <w:rFonts w:ascii="Arial" w:hAnsi="Arial"/>
                <w:sz w:val="16"/>
              </w:rPr>
              <w:t>Disruption support is useful when passengers face meaningful service changes, and journey-relevant information helps them decide whether to continue, wait or change their plan.</w:t>
            </w:r>
          </w:p>
        </w:tc>
        <w:tc>
          <w:tcPr>
            <w:tcW w:type="dxa" w:w="2045"/>
            <w:vAlign w:val="top"/>
          </w:tcPr>
          <w:p>
            <w:r>
              <w:rPr>
                <w:rFonts w:ascii="Arial" w:hAnsi="Arial"/>
                <w:sz w:val="16"/>
              </w:rPr>
              <w:t>Quantitative usefulness was strongest for deciding whether the current travel plan needed to change (median = 5). The qualitative strands converge that meaningful personal consequences, delay/urgency thresholds, ETA, connections, transfers and alternatives shape disrupted-journey decisions.</w:t>
            </w:r>
          </w:p>
        </w:tc>
        <w:tc>
          <w:tcPr>
            <w:tcW w:type="dxa" w:w="2045"/>
            <w:vAlign w:val="top"/>
          </w:tcPr>
          <w:p>
            <w:r>
              <w:rPr>
                <w:rFonts w:ascii="Arial" w:hAnsi="Arial"/>
                <w:sz w:val="16"/>
              </w:rPr>
              <w:t>The evidence does not establish one universal disruption threshold or identical information priorities for every passenger. Some participants also saw value outside active disruption.</w:t>
            </w:r>
          </w:p>
        </w:tc>
        <w:tc>
          <w:tcPr>
            <w:tcW w:type="dxa" w:w="2045"/>
            <w:vAlign w:val="top"/>
          </w:tcPr>
          <w:p>
            <w:r>
              <w:rPr>
                <w:rFonts w:ascii="Arial" w:hAnsi="Arial"/>
                <w:sz w:val="16"/>
              </w:rPr>
              <w:t>SUGGESTS</w:t>
            </w:r>
          </w:p>
        </w:tc>
      </w:tr>
      <w:tr>
        <w:tc>
          <w:tcPr>
            <w:tcW w:type="dxa" w:w="2045"/>
            <w:vAlign w:val="top"/>
          </w:tcPr>
          <w:p>
            <w:r>
              <w:rPr>
                <w:rFonts w:ascii="Arial" w:hAnsi="Arial"/>
                <w:sz w:val="16"/>
              </w:rPr>
              <w:t>2.2 Human Needs</w:t>
            </w:r>
          </w:p>
        </w:tc>
        <w:tc>
          <w:tcPr>
            <w:tcW w:type="dxa" w:w="2045"/>
            <w:vAlign w:val="top"/>
          </w:tcPr>
          <w:p>
            <w:r>
              <w:rPr>
                <w:rFonts w:ascii="Arial" w:hAnsi="Arial"/>
                <w:sz w:val="16"/>
              </w:rPr>
              <w:t>Passengers perceive the disruption decision-support prototype as useful and easy to use when making travel decisions during service disruptions.</w:t>
            </w:r>
          </w:p>
        </w:tc>
        <w:tc>
          <w:tcPr>
            <w:tcW w:type="dxa" w:w="2045"/>
            <w:vAlign w:val="top"/>
          </w:tcPr>
          <w:p>
            <w:r>
              <w:rPr>
                <w:rFonts w:ascii="Arial" w:hAnsi="Arial"/>
                <w:sz w:val="16"/>
              </w:rPr>
              <w:t>TAM results were generally positive: all four PEOU items had a median of 4, while the strongest PU item had a median of 5. Qualitative evidence explains this value through structured recommendations and consolidated journey information, while also identifying density, clarity and workflow-fit limitations.</w:t>
            </w:r>
          </w:p>
        </w:tc>
        <w:tc>
          <w:tcPr>
            <w:tcW w:type="dxa" w:w="2045"/>
            <w:vAlign w:val="top"/>
          </w:tcPr>
          <w:p>
            <w:r>
              <w:rPr>
                <w:rFonts w:ascii="Arial" w:hAnsi="Arial"/>
                <w:sz w:val="16"/>
              </w:rPr>
              <w:t>Positive perceptions cannot be generalised to all passengers. No low-frequency public-transport users were represented, and reported decision confidence cannot be attributed solely to the prototype.</w:t>
            </w:r>
          </w:p>
        </w:tc>
        <w:tc>
          <w:tcPr>
            <w:tcW w:type="dxa" w:w="2045"/>
            <w:vAlign w:val="top"/>
          </w:tcPr>
          <w:p>
            <w:r>
              <w:rPr>
                <w:rFonts w:ascii="Arial" w:hAnsi="Arial"/>
                <w:sz w:val="16"/>
              </w:rPr>
              <w:t>SUGGESTS</w:t>
            </w:r>
          </w:p>
        </w:tc>
      </w:tr>
    </w:tbl>
    <w:p>
      <w:pPr>
        <w:pStyle w:val="Heading1"/>
      </w:pPr>
      <w:r>
        <w:t>Final Bounded Claims</w:t>
      </w:r>
    </w:p>
    <w:p>
      <w:r>
        <w:rPr>
          <w:b/>
        </w:rPr>
        <w:t>1.1 — SUGGESTS</w:t>
      </w:r>
    </w:p>
    <w:p>
      <w:r>
        <w:t>The evidence suggests that most first-time participants could independently complete the core disruption-information and option-selection flow, with 15/16 completing unaided, although qualitative evidence shows that information density and unclear comparison made successful completion less effortless for some participants.</w:t>
      </w:r>
    </w:p>
    <w:p>
      <w:r>
        <w:rPr>
          <w:b/>
        </w:rPr>
        <w:t>1.2 — CANNOT ESTABLISH</w:t>
      </w:r>
    </w:p>
    <w:p>
      <w:r>
        <w:t>The current integrated evidence cannot establish whether the prototype technically updated disruption status, journey impacts and alternatives correctly, because the supplied analysis does not provide sufficient technical Pass/Fail evidence across the planned conditions; qualitative evidence instead establishes participants’ expectations for fresh, reliable and consistently updated journey information.</w:t>
      </w:r>
    </w:p>
    <w:p>
      <w:r>
        <w:rPr>
          <w:b/>
        </w:rPr>
        <w:t>2.1 — SUGGESTS</w:t>
      </w:r>
    </w:p>
    <w:p>
      <w:r>
        <w:t>The evidence suggests that disruption support is most valuable when a service change creates a meaningful personal decision point, with delay, urgency, ETA, connections, transfers and alternatives shaping whether participants decide to wait or change, although the evidence does not establish one universal threshold or information priority.</w:t>
      </w:r>
    </w:p>
    <w:p>
      <w:r>
        <w:rPr>
          <w:b/>
        </w:rPr>
        <w:t>2.2 — SUGGESTS</w:t>
      </w:r>
    </w:p>
    <w:p>
      <w:r>
        <w:t>The evidence suggests that participants generally perceived the prototype as useful and easy to use, particularly for deciding whether their current travel plan needed to change, while qualitative findings show that this value depended on concise, consolidated and trustworthy information and a clear fit with familiar travel workflows.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