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DECO6500 – Prioritised Design Changes</w:t>
      </w:r>
    </w:p>
    <w:p>
      <w:pPr>
        <w:jc w:val="center"/>
      </w:pPr>
      <w:r>
        <w:rPr>
          <w:i/>
        </w:rPr>
        <w:t>Week 8 Evidence-Based Design Response</w:t>
      </w:r>
    </w:p>
    <w:p>
      <w:r>
        <w:t>The following design changes are derived from the integrated Week 8 findings. Priority reflects the relevance of each issue to the core disruption-decision flow and the extent to which it recurred across evidence strands. These are evidence-linked design changes rather than claims that the proposed changes have already been validated.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6"/>
              </w:rPr>
              <w:t>Design Change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6"/>
              </w:rPr>
              <w:t>Evidence / Finding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6"/>
              </w:rPr>
              <w:t>Design Response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6"/>
              </w:rPr>
              <w:t>Expected Consequence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6"/>
              </w:rPr>
              <w:t>Evidence Boundary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1 – High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Simplify and progressively disclose early-stage information.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1.1: 15/16 completed unaided, but all three qualitative analyses identified information density, unnecessary detail or unclear comparison as friction for some participants.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Present the recommended option and the most decision-critical information first. Move secondary route details behind expandable or progressive disclosure so users can inspect them when needed.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Reduce cognitive effort during first-time use while retaining access to detailed journey information.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The evidence identifies information-density friction; it does not demonstrate that progressive disclosure itself will improve outcomes until the revised design is evaluated.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2 – High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Make recommendation reasoning and route comparison more explicit and concise.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1.1 and 2.2: recommendation reasons, ETA, transfers, maps, ranking and comparison cues helped participants move toward a decision, while unclear or text-heavy comparison reduced ease for some users.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Show a clearly identified recommended route with short reasons such as faster arrival, fewer transfers or lower disruption impact. Keep alternatives visible and compare them using consistent attributes.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Support faster comparison without removing user control or forcing users to accept the recommended option.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Participants did not all prioritise the same route attributes; the design should preserve alternatives and allow users to inspect the basis of the recommendation.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3 – High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Make information freshness, reliability and downstream disruption consequences visible.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1.2: Inductive, Nielsen and PACE+W findings repeatedly identified expectations around current/reliable information, revised journey impacts and valid alternatives. Current A2 evidence cannot establish technical correctness.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Display when disruption information was last updated and clearly propagate changes into ETA, affected journey legs and alternative-route information. Technical behaviour should be explicitly tested across changed states.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Increase transparency about whether users are acting on current information and make disruption consequences easier to judge.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This recommendation responds to perceived reliability needs. A2 cannot establish that the underlying technical updates are correct; that requires Technical Check evidence.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4 – Medium–High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Prioritise disruption support around meaningful personal journey consequences.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2.1: the qualitative strands converge that delay, urgency, missed connections and other personal consequences shape wait-versus-change decisions. Quantitative usefulness was strongest for deciding whether the current travel plan needed to change (median = 5).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Emphasise support when a disruption materially affects the user's journey. Surface relevant ETA change, delay severity, connection risk, transfers and viable alternatives rather than treating every service change as equally consequential.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Align intervention with the moment users actually need to decide whether to continue, wait or change route.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The evidence does not establish one universal threshold. Users differ in urgency and delay tolerance, and some participants saw value outside active disruption.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5 – Medium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Clarify the prototype’s added value within familiar travel workflows.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2.2: participants frequently benchmarked usefulness against familiar travel tools; qualitative evidence suggests value is stronger when disruption-specific information is consolidated and clearly differentiated.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Make the prototype's disruption-decision role immediately clear and consider how its recommendation and disruption features could complement, rather than duplicate, familiar journey-planning workflows.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Reduce uncertainty about why users would use the prototype and strengthen perceived usefulness relative to existing routines.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5"/>
              </w:rPr>
              <w:t>The evidence supports the need for clearer differentiation, but does not establish whether a standalone product or integration with an existing tool is the better implementation.</w:t>
            </w:r>
          </w:p>
        </w:tc>
      </w:tr>
    </w:tbl>
    <w:p>
      <w:pPr>
        <w:pStyle w:val="Heading1"/>
      </w:pPr>
      <w:r>
        <w:t>Priority Summary</w:t>
      </w:r>
    </w:p>
    <w:p>
      <w:r>
        <w:t>High priority changes address the core interaction and trust conditions needed to make disruption decisions: information load, route comparison, and information freshness/reliability. The medium-high change focuses on contextual relevance, while the medium-priority change addresses differentiation from familiar travel workflows.</w:t>
      </w:r>
    </w:p>
    <w:p>
      <w:pPr>
        <w:pStyle w:val="Heading1"/>
      </w:pPr>
      <w:r>
        <w:t>Design-Judgement Boundary</w:t>
      </w:r>
    </w:p>
    <w:p>
      <w:r>
        <w:t>These changes are grounded in the integrated findings, but the specific interface solutions proposed above remain design responses. Their effectiveness should not be treated as established until a revised prototype is evaluated.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