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DECO6500 – Week 8 Integration</w:t>
      </w:r>
    </w:p>
    <w:p>
      <w:pPr>
        <w:jc w:val="center"/>
      </w:pPr>
      <w:r>
        <w:rPr>
          <w:i/>
        </w:rPr>
        <w:t>Codes → Themes → Integration → Bounded Findings</w:t>
      </w:r>
    </w:p>
    <w:p>
      <w:r>
        <w:t>Evidence base: Inductive qualitative themes (P01–P14), Nielsen deductive usability themes (P01–P15), PACE+W qualitative themes (P01–P16), and quantitative analysis (n=16). Participant counts are preserved within each qualitative strand and are not added together because the same participants may appear in multiple analyses.</w:t>
      </w:r>
    </w:p>
    <w:p>
      <w:pPr>
        <w:pStyle w:val="Heading1"/>
      </w:pPr>
      <w:r>
        <w:t>Move 1 — From Codes to Themes</w:t>
      </w:r>
    </w:p>
    <w:p>
      <w:r>
        <w:t>The three qualitative analyses were compared by committed evaluation question. Overlapping claims were grouped into team-level themes while preserving the original method-specific codes and participant-presence counts. Counts are shown by strand rather than combined.</w:t>
      </w:r>
    </w:p>
    <w:p>
      <w:pPr>
        <w:pStyle w:val="Heading2"/>
      </w:pPr>
      <w:r>
        <w:t>1.1 Interaction &amp; Interface</w:t>
      </w:r>
    </w:p>
    <w:p>
      <w:r>
        <w:t>Can a first-time participant complete the disruption-information and option-selection flow without direct assistance?</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1728"/>
          </w:tcPr>
          <w:p>
            <w:r>
              <w:rPr>
                <w:rFonts w:ascii="Arial" w:hAnsi="Arial"/>
                <w:b/>
                <w:sz w:val="14"/>
              </w:rPr>
              <w:t>Theme as a claim</w:t>
            </w:r>
          </w:p>
        </w:tc>
        <w:tc>
          <w:tcPr>
            <w:tcW w:type="dxa" w:w="1728"/>
          </w:tcPr>
          <w:p>
            <w:r>
              <w:rPr>
                <w:rFonts w:ascii="Arial" w:hAnsi="Arial"/>
                <w:b/>
                <w:sz w:val="14"/>
              </w:rPr>
              <w:t>Short definition</w:t>
            </w:r>
          </w:p>
        </w:tc>
        <w:tc>
          <w:tcPr>
            <w:tcW w:type="dxa" w:w="1728"/>
          </w:tcPr>
          <w:p>
            <w:r>
              <w:rPr>
                <w:rFonts w:ascii="Arial" w:hAnsi="Arial"/>
                <w:b/>
                <w:sz w:val="14"/>
              </w:rPr>
              <w:t>Codes / evidence strands</w:t>
            </w:r>
          </w:p>
        </w:tc>
        <w:tc>
          <w:tcPr>
            <w:tcW w:type="dxa" w:w="1728"/>
          </w:tcPr>
          <w:p>
            <w:r>
              <w:rPr>
                <w:rFonts w:ascii="Arial" w:hAnsi="Arial"/>
                <w:b/>
                <w:sz w:val="14"/>
              </w:rPr>
              <w:t>Participants counted</w:t>
            </w:r>
          </w:p>
        </w:tc>
        <w:tc>
          <w:tcPr>
            <w:tcW w:type="dxa" w:w="1728"/>
          </w:tcPr>
          <w:p>
            <w:r>
              <w:rPr>
                <w:rFonts w:ascii="Arial" w:hAnsi="Arial"/>
                <w:b/>
                <w:sz w:val="14"/>
              </w:rPr>
              <w:t>Counter-example / boundary</w:t>
            </w:r>
          </w:p>
        </w:tc>
        <w:tc>
          <w:tcPr>
            <w:tcW w:type="dxa" w:w="1728"/>
          </w:tcPr>
          <w:p>
            <w:r>
              <w:rPr>
                <w:rFonts w:ascii="Arial" w:hAnsi="Arial"/>
                <w:b/>
                <w:sz w:val="14"/>
              </w:rPr>
              <w:t>Bound</w:t>
            </w:r>
          </w:p>
        </w:tc>
      </w:tr>
      <w:tr>
        <w:tc>
          <w:tcPr>
            <w:tcW w:type="dxa" w:w="1728"/>
            <w:vAlign w:val="top"/>
          </w:tcPr>
          <w:p>
            <w:r>
              <w:rPr>
                <w:rFonts w:ascii="Arial" w:hAnsi="Arial"/>
                <w:sz w:val="14"/>
              </w:rPr>
              <w:t>Dense information and unclear comparison can interrupt first-time progression.</w:t>
            </w:r>
          </w:p>
        </w:tc>
        <w:tc>
          <w:tcPr>
            <w:tcW w:type="dxa" w:w="1728"/>
            <w:vAlign w:val="top"/>
          </w:tcPr>
          <w:p>
            <w:r>
              <w:rPr>
                <w:rFonts w:ascii="Arial" w:hAnsi="Arial"/>
                <w:sz w:val="14"/>
              </w:rPr>
              <w:t>Early-stage density, missing/non-comparable routes, unclear comparison logic and unnecessary detail increase cognitive effort and hesitation.</w:t>
            </w:r>
          </w:p>
        </w:tc>
        <w:tc>
          <w:tcPr>
            <w:tcW w:type="dxa" w:w="1728"/>
            <w:vAlign w:val="top"/>
          </w:tcPr>
          <w:p>
            <w:r>
              <w:rPr>
                <w:rFonts w:ascii="Arial" w:hAnsi="Arial"/>
                <w:sz w:val="14"/>
              </w:rPr>
              <w:t>Inductive: Information overload; Unnecessary route detail; Compare alternatives; Progressive disclosure. Nielsen: Aesthetic/minimalist design; Consistency; Match with real world; Help/documentation. PACE+W: Cognition; Perception.</w:t>
            </w:r>
          </w:p>
        </w:tc>
        <w:tc>
          <w:tcPr>
            <w:tcW w:type="dxa" w:w="1728"/>
            <w:vAlign w:val="top"/>
          </w:tcPr>
          <w:p>
            <w:r>
              <w:rPr>
                <w:rFonts w:ascii="Arial" w:hAnsi="Arial"/>
                <w:sz w:val="14"/>
              </w:rPr>
              <w:t>Inductive 6/14 for overload and 8/14 for comparison difficulty; Nielsen 6/15 for early-stage barriers; PACE+W 5/16 for density/unclear comparison.</w:t>
            </w:r>
          </w:p>
        </w:tc>
        <w:tc>
          <w:tcPr>
            <w:tcW w:type="dxa" w:w="1728"/>
            <w:vAlign w:val="top"/>
          </w:tcPr>
          <w:p>
            <w:r>
              <w:rPr>
                <w:rFonts w:ascii="Arial" w:hAnsi="Arial"/>
                <w:sz w:val="14"/>
              </w:rPr>
              <w:t>P03 in the Inductive and PACE+W analyses found the interface understandable and used maps/arrival time/transfers effectively; Nielsen also records P03 as able to interpret alternatives.</w:t>
            </w:r>
          </w:p>
        </w:tc>
        <w:tc>
          <w:tcPr>
            <w:tcW w:type="dxa" w:w="1728"/>
            <w:vAlign w:val="top"/>
          </w:tcPr>
          <w:p>
            <w:r>
              <w:rPr>
                <w:rFonts w:ascii="Arial" w:hAnsi="Arial"/>
                <w:sz w:val="14"/>
              </w:rPr>
              <w:t>This identifies friction within the flow; it does not establish formal task success or assistance level.</w:t>
            </w:r>
          </w:p>
        </w:tc>
      </w:tr>
      <w:tr>
        <w:tc>
          <w:tcPr>
            <w:tcW w:type="dxa" w:w="1728"/>
            <w:vAlign w:val="top"/>
          </w:tcPr>
          <w:p>
            <w:r>
              <w:rPr>
                <w:rFonts w:ascii="Arial" w:hAnsi="Arial"/>
                <w:sz w:val="14"/>
              </w:rPr>
              <w:t>Clear recommendations and visible comparison cues help users move toward a decision.</w:t>
            </w:r>
          </w:p>
        </w:tc>
        <w:tc>
          <w:tcPr>
            <w:tcW w:type="dxa" w:w="1728"/>
            <w:vAlign w:val="top"/>
          </w:tcPr>
          <w:p>
            <w:r>
              <w:rPr>
                <w:rFonts w:ascii="Arial" w:hAnsi="Arial"/>
                <w:sz w:val="14"/>
              </w:rPr>
              <w:t>Recommendation reasons, ETA, transfers, maps, ranking and side-by-side cues reduce the need to reconstruct information and provide a usable starting point.</w:t>
            </w:r>
          </w:p>
        </w:tc>
        <w:tc>
          <w:tcPr>
            <w:tcW w:type="dxa" w:w="1728"/>
            <w:vAlign w:val="top"/>
          </w:tcPr>
          <w:p>
            <w:r>
              <w:rPr>
                <w:rFonts w:ascii="Arial" w:hAnsi="Arial"/>
                <w:sz w:val="14"/>
              </w:rPr>
              <w:t>Inductive: Clear recommended option; Plain-language explanation; Compare alternatives. Nielsen: Recognition rather than recall; Flexibility/efficiency; Help/documentation. PACE+W: Perception; Cognition; Action.</w:t>
            </w:r>
          </w:p>
        </w:tc>
        <w:tc>
          <w:tcPr>
            <w:tcW w:type="dxa" w:w="1728"/>
            <w:vAlign w:val="top"/>
          </w:tcPr>
          <w:p>
            <w:r>
              <w:rPr>
                <w:rFonts w:ascii="Arial" w:hAnsi="Arial"/>
                <w:sz w:val="14"/>
              </w:rPr>
              <w:t>Inductive 11/14 for clear recommendations; Nielsen 8/15 for visible comparison cues; PACE+W 7/16 for prioritised recommendations/comparison cues.</w:t>
            </w:r>
          </w:p>
        </w:tc>
        <w:tc>
          <w:tcPr>
            <w:tcW w:type="dxa" w:w="1728"/>
            <w:vAlign w:val="top"/>
          </w:tcPr>
          <w:p>
            <w:r>
              <w:rPr>
                <w:rFonts w:ascii="Arial" w:hAnsi="Arial"/>
                <w:sz w:val="14"/>
              </w:rPr>
              <w:t>P05 wanted explicit comparison rather than a simplified recommendation; P08 found comparison text-heavy; P16 understood the interface but questioned the prototype's purpose.</w:t>
            </w:r>
          </w:p>
        </w:tc>
        <w:tc>
          <w:tcPr>
            <w:tcW w:type="dxa" w:w="1728"/>
            <w:vAlign w:val="top"/>
          </w:tcPr>
          <w:p>
            <w:r>
              <w:rPr>
                <w:rFonts w:ascii="Arial" w:hAnsi="Arial"/>
                <w:sz w:val="14"/>
              </w:rPr>
              <w:t>Supports perceived decision support, not proof that a recommendation was objectively optimal or always adopted.</w:t>
            </w:r>
          </w:p>
        </w:tc>
      </w:tr>
      <w:tr>
        <w:tc>
          <w:tcPr>
            <w:tcW w:type="dxa" w:w="1728"/>
            <w:vAlign w:val="top"/>
          </w:tcPr>
          <w:p>
            <w:r>
              <w:rPr>
                <w:rFonts w:ascii="Arial" w:hAnsi="Arial"/>
                <w:sz w:val="14"/>
              </w:rPr>
              <w:t>Journey consequences make disruption status actionable.</w:t>
            </w:r>
          </w:p>
        </w:tc>
        <w:tc>
          <w:tcPr>
            <w:tcW w:type="dxa" w:w="1728"/>
            <w:vAlign w:val="top"/>
          </w:tcPr>
          <w:p>
            <w:r>
              <w:rPr>
                <w:rFonts w:ascii="Arial" w:hAnsi="Arial"/>
                <w:sz w:val="14"/>
              </w:rPr>
              <w:t>Status becomes useful when translated into personal consequences such as revised arrival time, missed connections, affected legs and whether a plan change is required.</w:t>
            </w:r>
          </w:p>
        </w:tc>
        <w:tc>
          <w:tcPr>
            <w:tcW w:type="dxa" w:w="1728"/>
            <w:vAlign w:val="top"/>
          </w:tcPr>
          <w:p>
            <w:r>
              <w:rPr>
                <w:rFonts w:ascii="Arial" w:hAnsi="Arial"/>
                <w:sz w:val="14"/>
              </w:rPr>
              <w:t>Nielsen: Visibility of system status; Match with real world; Error prevention. PACE+W/Inductive: journey-impact and decision cues.</w:t>
            </w:r>
          </w:p>
        </w:tc>
        <w:tc>
          <w:tcPr>
            <w:tcW w:type="dxa" w:w="1728"/>
            <w:vAlign w:val="top"/>
          </w:tcPr>
          <w:p>
            <w:r>
              <w:rPr>
                <w:rFonts w:ascii="Arial" w:hAnsi="Arial"/>
                <w:sz w:val="14"/>
              </w:rPr>
              <w:t>Nielsen 8/15 explicitly supported this claim; related PACE+W and Inductive evidence appears in recommendation/decision themes.</w:t>
            </w:r>
          </w:p>
        </w:tc>
        <w:tc>
          <w:tcPr>
            <w:tcW w:type="dxa" w:w="1728"/>
            <w:vAlign w:val="top"/>
          </w:tcPr>
          <w:p>
            <w:r>
              <w:rPr>
                <w:rFonts w:ascii="Arial" w:hAnsi="Arial"/>
                <w:sz w:val="14"/>
              </w:rPr>
              <w:t>P04/P05 could not fully evaluate expected disruption/route information in some scenarios.</w:t>
            </w:r>
          </w:p>
        </w:tc>
        <w:tc>
          <w:tcPr>
            <w:tcW w:type="dxa" w:w="1728"/>
            <w:vAlign w:val="top"/>
          </w:tcPr>
          <w:p>
            <w:r>
              <w:rPr>
                <w:rFonts w:ascii="Arial" w:hAnsi="Arial"/>
                <w:sz w:val="14"/>
              </w:rPr>
              <w:t>Supports comprehension of journey impact; does not by itself establish independent completion.</w:t>
            </w:r>
          </w:p>
        </w:tc>
      </w:tr>
    </w:tbl>
    <w:p>
      <w:pPr>
        <w:pStyle w:val="Heading2"/>
      </w:pPr>
      <w:r>
        <w:t>1.2 Prototype &amp; Technical</w:t>
      </w:r>
    </w:p>
    <w:p>
      <w:r>
        <w:t>Can the prototype correctly update and present disruption status, journey impacts and alternative options when simulated travel conditions change?</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1728"/>
          </w:tcPr>
          <w:p>
            <w:r>
              <w:rPr>
                <w:rFonts w:ascii="Arial" w:hAnsi="Arial"/>
                <w:b/>
                <w:sz w:val="14"/>
              </w:rPr>
              <w:t>Theme as a claim</w:t>
            </w:r>
          </w:p>
        </w:tc>
        <w:tc>
          <w:tcPr>
            <w:tcW w:type="dxa" w:w="1728"/>
          </w:tcPr>
          <w:p>
            <w:r>
              <w:rPr>
                <w:rFonts w:ascii="Arial" w:hAnsi="Arial"/>
                <w:b/>
                <w:sz w:val="14"/>
              </w:rPr>
              <w:t>Short definition</w:t>
            </w:r>
          </w:p>
        </w:tc>
        <w:tc>
          <w:tcPr>
            <w:tcW w:type="dxa" w:w="1728"/>
          </w:tcPr>
          <w:p>
            <w:r>
              <w:rPr>
                <w:rFonts w:ascii="Arial" w:hAnsi="Arial"/>
                <w:b/>
                <w:sz w:val="14"/>
              </w:rPr>
              <w:t>Codes / evidence strands</w:t>
            </w:r>
          </w:p>
        </w:tc>
        <w:tc>
          <w:tcPr>
            <w:tcW w:type="dxa" w:w="1728"/>
          </w:tcPr>
          <w:p>
            <w:r>
              <w:rPr>
                <w:rFonts w:ascii="Arial" w:hAnsi="Arial"/>
                <w:b/>
                <w:sz w:val="14"/>
              </w:rPr>
              <w:t>Participants counted</w:t>
            </w:r>
          </w:p>
        </w:tc>
        <w:tc>
          <w:tcPr>
            <w:tcW w:type="dxa" w:w="1728"/>
          </w:tcPr>
          <w:p>
            <w:r>
              <w:rPr>
                <w:rFonts w:ascii="Arial" w:hAnsi="Arial"/>
                <w:b/>
                <w:sz w:val="14"/>
              </w:rPr>
              <w:t>Counter-example / boundary</w:t>
            </w:r>
          </w:p>
        </w:tc>
        <w:tc>
          <w:tcPr>
            <w:tcW w:type="dxa" w:w="1728"/>
          </w:tcPr>
          <w:p>
            <w:r>
              <w:rPr>
                <w:rFonts w:ascii="Arial" w:hAnsi="Arial"/>
                <w:b/>
                <w:sz w:val="14"/>
              </w:rPr>
              <w:t>Bound</w:t>
            </w:r>
          </w:p>
        </w:tc>
      </w:tr>
      <w:tr>
        <w:tc>
          <w:tcPr>
            <w:tcW w:type="dxa" w:w="1728"/>
            <w:vAlign w:val="top"/>
          </w:tcPr>
          <w:p>
            <w:r>
              <w:rPr>
                <w:rFonts w:ascii="Arial" w:hAnsi="Arial"/>
                <w:sz w:val="14"/>
              </w:rPr>
              <w:t>Perceived freshness and reliability shape trust in disruption updates.</w:t>
            </w:r>
          </w:p>
        </w:tc>
        <w:tc>
          <w:tcPr>
            <w:tcW w:type="dxa" w:w="1728"/>
            <w:vAlign w:val="top"/>
          </w:tcPr>
          <w:p>
            <w:r>
              <w:rPr>
                <w:rFonts w:ascii="Arial" w:hAnsi="Arial"/>
                <w:sz w:val="14"/>
              </w:rPr>
              <w:t>Participants questioned whether information was current, accurate and consistent with real-world services, including whether alternatives might also be disrupted.</w:t>
            </w:r>
          </w:p>
        </w:tc>
        <w:tc>
          <w:tcPr>
            <w:tcW w:type="dxa" w:w="1728"/>
            <w:vAlign w:val="top"/>
          </w:tcPr>
          <w:p>
            <w:r>
              <w:rPr>
                <w:rFonts w:ascii="Arial" w:hAnsi="Arial"/>
                <w:sz w:val="14"/>
              </w:rPr>
              <w:t>Inductive: Information reliability; Digital-real-world mismatch. Nielsen: Visibility of system status; Match with real world. PACE+W: Cognition; Perception; explicit Emotion where present.</w:t>
            </w:r>
          </w:p>
        </w:tc>
        <w:tc>
          <w:tcPr>
            <w:tcW w:type="dxa" w:w="1728"/>
            <w:vAlign w:val="top"/>
          </w:tcPr>
          <w:p>
            <w:r>
              <w:rPr>
                <w:rFonts w:ascii="Arial" w:hAnsi="Arial"/>
                <w:sz w:val="14"/>
              </w:rPr>
              <w:t>Inductive 7/14; Nielsen 7/15; PACE+W 9/16.</w:t>
            </w:r>
          </w:p>
        </w:tc>
        <w:tc>
          <w:tcPr>
            <w:tcW w:type="dxa" w:w="1728"/>
            <w:vAlign w:val="top"/>
          </w:tcPr>
          <w:p>
            <w:r>
              <w:rPr>
                <w:rFonts w:ascii="Arial" w:hAnsi="Arial"/>
                <w:sz w:val="14"/>
              </w:rPr>
              <w:t>P07 in the Inductive analysis trusted alternative generation without explicitly questioning backend reliability; P06 could not meaningfully judge disruption behaviour in PACE+W.</w:t>
            </w:r>
          </w:p>
        </w:tc>
        <w:tc>
          <w:tcPr>
            <w:tcW w:type="dxa" w:w="1728"/>
            <w:vAlign w:val="top"/>
          </w:tcPr>
          <w:p>
            <w:r>
              <w:rPr>
                <w:rFonts w:ascii="Arial" w:hAnsi="Arial"/>
                <w:sz w:val="14"/>
              </w:rPr>
              <w:t>These are perceptions of reliability, not technical Pass/Fail evidence.</w:t>
            </w:r>
          </w:p>
        </w:tc>
      </w:tr>
      <w:tr>
        <w:tc>
          <w:tcPr>
            <w:tcW w:type="dxa" w:w="1728"/>
            <w:vAlign w:val="top"/>
          </w:tcPr>
          <w:p>
            <w:r>
              <w:rPr>
                <w:rFonts w:ascii="Arial" w:hAnsi="Arial"/>
                <w:sz w:val="14"/>
              </w:rPr>
              <w:t>Users expect updates to propagate to journey consequences and alternative-route risk.</w:t>
            </w:r>
          </w:p>
        </w:tc>
        <w:tc>
          <w:tcPr>
            <w:tcW w:type="dxa" w:w="1728"/>
            <w:vAlign w:val="top"/>
          </w:tcPr>
          <w:p>
            <w:r>
              <w:rPr>
                <w:rFonts w:ascii="Arial" w:hAnsi="Arial"/>
                <w:sz w:val="14"/>
              </w:rPr>
              <w:t>A status change alone is insufficient; users expect revised ETA, missed-connection risk and indications of whether recommended alternatives are also affected.</w:t>
            </w:r>
          </w:p>
        </w:tc>
        <w:tc>
          <w:tcPr>
            <w:tcW w:type="dxa" w:w="1728"/>
            <w:vAlign w:val="top"/>
          </w:tcPr>
          <w:p>
            <w:r>
              <w:rPr>
                <w:rFonts w:ascii="Arial" w:hAnsi="Arial"/>
                <w:sz w:val="14"/>
              </w:rPr>
              <w:t>Inductive: Impact on arrival time. Nielsen: Visibility; Error prevention; Match with real world. PACE+W: Cognition; Perception.</w:t>
            </w:r>
          </w:p>
        </w:tc>
        <w:tc>
          <w:tcPr>
            <w:tcW w:type="dxa" w:w="1728"/>
            <w:vAlign w:val="top"/>
          </w:tcPr>
          <w:p>
            <w:r>
              <w:rPr>
                <w:rFonts w:ascii="Arial" w:hAnsi="Arial"/>
                <w:sz w:val="14"/>
              </w:rPr>
              <w:t>Inductive 7/14 emphasised arrival-time impact; Nielsen 6/15 expected downstream consequences.</w:t>
            </w:r>
          </w:p>
        </w:tc>
        <w:tc>
          <w:tcPr>
            <w:tcW w:type="dxa" w:w="1728"/>
            <w:vAlign w:val="top"/>
          </w:tcPr>
          <w:p>
            <w:r>
              <w:rPr>
                <w:rFonts w:ascii="Arial" w:hAnsi="Arial"/>
                <w:sz w:val="14"/>
              </w:rPr>
              <w:t>P06 in the Inductive analysis focused more on transport mode than exact recalculated arrival time; P03 observed state changes but qualitative evidence could not verify calculations.</w:t>
            </w:r>
          </w:p>
        </w:tc>
        <w:tc>
          <w:tcPr>
            <w:tcW w:type="dxa" w:w="1728"/>
            <w:vAlign w:val="top"/>
          </w:tcPr>
          <w:p>
            <w:r>
              <w:rPr>
                <w:rFonts w:ascii="Arial" w:hAnsi="Arial"/>
                <w:sz w:val="14"/>
              </w:rPr>
              <w:t>Defines expected update behaviour but cannot confirm the technical correctness of calculations.</w:t>
            </w:r>
          </w:p>
        </w:tc>
      </w:tr>
      <w:tr>
        <w:tc>
          <w:tcPr>
            <w:tcW w:type="dxa" w:w="1728"/>
            <w:vAlign w:val="top"/>
          </w:tcPr>
          <w:p>
            <w:r>
              <w:rPr>
                <w:rFonts w:ascii="Arial" w:hAnsi="Arial"/>
                <w:sz w:val="14"/>
              </w:rPr>
              <w:t>Missing routes or weak disruption scenarios reduce evidence readiness.</w:t>
            </w:r>
          </w:p>
        </w:tc>
        <w:tc>
          <w:tcPr>
            <w:tcW w:type="dxa" w:w="1728"/>
            <w:vAlign w:val="top"/>
          </w:tcPr>
          <w:p>
            <w:r>
              <w:rPr>
                <w:rFonts w:ascii="Arial" w:hAnsi="Arial"/>
                <w:sz w:val="14"/>
              </w:rPr>
              <w:t>When expected routes or meaningful changed conditions are absent, participants cannot properly judge whether the prototype responds correctly.</w:t>
            </w:r>
          </w:p>
        </w:tc>
        <w:tc>
          <w:tcPr>
            <w:tcW w:type="dxa" w:w="1728"/>
            <w:vAlign w:val="top"/>
          </w:tcPr>
          <w:p>
            <w:r>
              <w:rPr>
                <w:rFonts w:ascii="Arial" w:hAnsi="Arial"/>
                <w:sz w:val="14"/>
              </w:rPr>
              <w:t>Inductive: Missing expected routes. Nielsen: Consistency; Match with real world; Visibility; Help/documentation. PACE+W: coverage/reliability concerns.</w:t>
            </w:r>
          </w:p>
        </w:tc>
        <w:tc>
          <w:tcPr>
            <w:tcW w:type="dxa" w:w="1728"/>
            <w:vAlign w:val="top"/>
          </w:tcPr>
          <w:p>
            <w:r>
              <w:rPr>
                <w:rFonts w:ascii="Arial" w:hAnsi="Arial"/>
                <w:sz w:val="14"/>
              </w:rPr>
              <w:t>Inductive 2/14 for missing expected routes; Nielsen 4/15 for missing routes/weak scenarios; PACE+W includes these concerns within 9/16 reliability/freshness theme.</w:t>
            </w:r>
          </w:p>
        </w:tc>
        <w:tc>
          <w:tcPr>
            <w:tcW w:type="dxa" w:w="1728"/>
            <w:vAlign w:val="top"/>
          </w:tcPr>
          <w:p>
            <w:r>
              <w:rPr>
                <w:rFonts w:ascii="Arial" w:hAnsi="Arial"/>
                <w:sz w:val="14"/>
              </w:rPr>
              <w:t>Other participants, including P03 in Nielsen, experienced clearer status changes and alternative selection.</w:t>
            </w:r>
          </w:p>
        </w:tc>
        <w:tc>
          <w:tcPr>
            <w:tcW w:type="dxa" w:w="1728"/>
            <w:vAlign w:val="top"/>
          </w:tcPr>
          <w:p>
            <w:r>
              <w:rPr>
                <w:rFonts w:ascii="Arial" w:hAnsi="Arial"/>
                <w:sz w:val="14"/>
              </w:rPr>
              <w:t>This is a prototype-fidelity/evidence-coverage limitation and does not establish a technical failure.</w:t>
            </w:r>
          </w:p>
        </w:tc>
      </w:tr>
    </w:tbl>
    <w:p>
      <w:pPr>
        <w:pStyle w:val="Heading2"/>
      </w:pPr>
      <w:r>
        <w:t>2.1 In-context Use</w:t>
      </w:r>
    </w:p>
    <w:p>
      <w:r>
        <w:t>When and why would passengers need this type of disruption support, and what information fits their real travel decision process?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1728"/>
          </w:tcPr>
          <w:p>
            <w:r>
              <w:rPr>
                <w:rFonts w:ascii="Arial" w:hAnsi="Arial"/>
                <w:b/>
                <w:sz w:val="14"/>
              </w:rPr>
              <w:t>Theme as a claim</w:t>
            </w:r>
          </w:p>
        </w:tc>
        <w:tc>
          <w:tcPr>
            <w:tcW w:type="dxa" w:w="1728"/>
          </w:tcPr>
          <w:p>
            <w:r>
              <w:rPr>
                <w:rFonts w:ascii="Arial" w:hAnsi="Arial"/>
                <w:b/>
                <w:sz w:val="14"/>
              </w:rPr>
              <w:t>Short definition</w:t>
            </w:r>
          </w:p>
        </w:tc>
        <w:tc>
          <w:tcPr>
            <w:tcW w:type="dxa" w:w="1728"/>
          </w:tcPr>
          <w:p>
            <w:r>
              <w:rPr>
                <w:rFonts w:ascii="Arial" w:hAnsi="Arial"/>
                <w:b/>
                <w:sz w:val="14"/>
              </w:rPr>
              <w:t>Codes / evidence strands</w:t>
            </w:r>
          </w:p>
        </w:tc>
        <w:tc>
          <w:tcPr>
            <w:tcW w:type="dxa" w:w="1728"/>
          </w:tcPr>
          <w:p>
            <w:r>
              <w:rPr>
                <w:rFonts w:ascii="Arial" w:hAnsi="Arial"/>
                <w:b/>
                <w:sz w:val="14"/>
              </w:rPr>
              <w:t>Participants counted</w:t>
            </w:r>
          </w:p>
        </w:tc>
        <w:tc>
          <w:tcPr>
            <w:tcW w:type="dxa" w:w="1728"/>
          </w:tcPr>
          <w:p>
            <w:r>
              <w:rPr>
                <w:rFonts w:ascii="Arial" w:hAnsi="Arial"/>
                <w:b/>
                <w:sz w:val="14"/>
              </w:rPr>
              <w:t>Counter-example / boundary</w:t>
            </w:r>
          </w:p>
        </w:tc>
        <w:tc>
          <w:tcPr>
            <w:tcW w:type="dxa" w:w="1728"/>
          </w:tcPr>
          <w:p>
            <w:r>
              <w:rPr>
                <w:rFonts w:ascii="Arial" w:hAnsi="Arial"/>
                <w:b/>
                <w:sz w:val="14"/>
              </w:rPr>
              <w:t>Bound</w:t>
            </w:r>
          </w:p>
        </w:tc>
      </w:tr>
      <w:tr>
        <w:tc>
          <w:tcPr>
            <w:tcW w:type="dxa" w:w="1728"/>
            <w:vAlign w:val="top"/>
          </w:tcPr>
          <w:p>
            <w:r>
              <w:rPr>
                <w:rFonts w:ascii="Arial" w:hAnsi="Arial"/>
                <w:sz w:val="14"/>
              </w:rPr>
              <w:t>Disruption support is most valuable when a change creates a meaningful personal decision point.</w:t>
            </w:r>
          </w:p>
        </w:tc>
        <w:tc>
          <w:tcPr>
            <w:tcW w:type="dxa" w:w="1728"/>
            <w:vAlign w:val="top"/>
          </w:tcPr>
          <w:p>
            <w:r>
              <w:rPr>
                <w:rFonts w:ascii="Arial" w:hAnsi="Arial"/>
                <w:sz w:val="14"/>
              </w:rPr>
              <w:t>Participants wanted support when disruption could make them late, break a connection, require a route change or otherwise force a decision.</w:t>
            </w:r>
          </w:p>
        </w:tc>
        <w:tc>
          <w:tcPr>
            <w:tcW w:type="dxa" w:w="1728"/>
            <w:vAlign w:val="top"/>
          </w:tcPr>
          <w:p>
            <w:r>
              <w:rPr>
                <w:rFonts w:ascii="Arial" w:hAnsi="Arial"/>
                <w:sz w:val="14"/>
              </w:rPr>
              <w:t>Inductive: Delay threshold; Urgency changes decisions. Nielsen: Visibility; Aesthetic/minimalist design; Match with real world; Flexibility/efficiency. PACE+W: Cognition; Action; Perception.</w:t>
            </w:r>
          </w:p>
        </w:tc>
        <w:tc>
          <w:tcPr>
            <w:tcW w:type="dxa" w:w="1728"/>
            <w:vAlign w:val="top"/>
          </w:tcPr>
          <w:p>
            <w:r>
              <w:rPr>
                <w:rFonts w:ascii="Arial" w:hAnsi="Arial"/>
                <w:sz w:val="14"/>
              </w:rPr>
              <w:t>Inductive 10/14 for threshold/urgency; Nielsen 12/15 for meaningful decision points; PACE+W 12/16 for meaningful personal consequences.</w:t>
            </w:r>
          </w:p>
        </w:tc>
        <w:tc>
          <w:tcPr>
            <w:tcW w:type="dxa" w:w="1728"/>
            <w:vAlign w:val="top"/>
          </w:tcPr>
          <w:p>
            <w:r>
              <w:rPr>
                <w:rFonts w:ascii="Arial" w:hAnsi="Arial"/>
                <w:sz w:val="14"/>
              </w:rPr>
              <w:t>PACE+W P14/P16 and Nielsen P15 also saw value outside active disruption, so the evidence does not support a disruption-only role.</w:t>
            </w:r>
          </w:p>
        </w:tc>
        <w:tc>
          <w:tcPr>
            <w:tcW w:type="dxa" w:w="1728"/>
            <w:vAlign w:val="top"/>
          </w:tcPr>
          <w:p>
            <w:r>
              <w:rPr>
                <w:rFonts w:ascii="Arial" w:hAnsi="Arial"/>
                <w:sz w:val="14"/>
              </w:rPr>
              <w:t>Supports a disruption-first use case, not a universal rule about when every passenger needs support.</w:t>
            </w:r>
          </w:p>
        </w:tc>
      </w:tr>
      <w:tr>
        <w:tc>
          <w:tcPr>
            <w:tcW w:type="dxa" w:w="1728"/>
            <w:vAlign w:val="top"/>
          </w:tcPr>
          <w:p>
            <w:r>
              <w:rPr>
                <w:rFonts w:ascii="Arial" w:hAnsi="Arial"/>
                <w:sz w:val="14"/>
              </w:rPr>
              <w:t>Passengers use personal thresholds to decide whether to wait or change.</w:t>
            </w:r>
          </w:p>
        </w:tc>
        <w:tc>
          <w:tcPr>
            <w:tcW w:type="dxa" w:w="1728"/>
            <w:vAlign w:val="top"/>
          </w:tcPr>
          <w:p>
            <w:r>
              <w:rPr>
                <w:rFonts w:ascii="Arial" w:hAnsi="Arial"/>
                <w:sz w:val="14"/>
              </w:rPr>
              <w:t>Delay duration, urgency, missed connections and the effort of transferring are weighed against staying with the current journey.</w:t>
            </w:r>
          </w:p>
        </w:tc>
        <w:tc>
          <w:tcPr>
            <w:tcW w:type="dxa" w:w="1728"/>
            <w:vAlign w:val="top"/>
          </w:tcPr>
          <w:p>
            <w:r>
              <w:rPr>
                <w:rFonts w:ascii="Arial" w:hAnsi="Arial"/>
                <w:sz w:val="14"/>
              </w:rPr>
              <w:t>Inductive: Wait versus change; Delay threshold; Urgency changes decisions. Nielsen: Visibility; Flexibility/efficiency; Error prevention. PACE+W: Cognition; Action.</w:t>
            </w:r>
          </w:p>
        </w:tc>
        <w:tc>
          <w:tcPr>
            <w:tcW w:type="dxa" w:w="1728"/>
            <w:vAlign w:val="top"/>
          </w:tcPr>
          <w:p>
            <w:r>
              <w:rPr>
                <w:rFonts w:ascii="Arial" w:hAnsi="Arial"/>
                <w:sz w:val="14"/>
              </w:rPr>
              <w:t>Inductive 10/14 for wait-versus-change and 10/14 for threshold/urgency; Nielsen 8/15 for practical thresholds.</w:t>
            </w:r>
          </w:p>
        </w:tc>
        <w:tc>
          <w:tcPr>
            <w:tcW w:type="dxa" w:w="1728"/>
            <w:vAlign w:val="top"/>
          </w:tcPr>
          <w:p>
            <w:r>
              <w:rPr>
                <w:rFonts w:ascii="Arial" w:hAnsi="Arial"/>
                <w:sz w:val="14"/>
              </w:rPr>
              <w:t>P02 in the Inductive analysis focused on simply identifying which route to take; P07 focused on avoiding disruption rather than weighing waiting cost.</w:t>
            </w:r>
          </w:p>
        </w:tc>
        <w:tc>
          <w:tcPr>
            <w:tcW w:type="dxa" w:w="1728"/>
            <w:vAlign w:val="top"/>
          </w:tcPr>
          <w:p>
            <w:r>
              <w:rPr>
                <w:rFonts w:ascii="Arial" w:hAnsi="Arial"/>
                <w:sz w:val="14"/>
              </w:rPr>
              <w:t>Shows types of decision thresholds, not one threshold that applies to all passengers.</w:t>
            </w:r>
          </w:p>
        </w:tc>
      </w:tr>
      <w:tr>
        <w:tc>
          <w:tcPr>
            <w:tcW w:type="dxa" w:w="1728"/>
            <w:vAlign w:val="top"/>
          </w:tcPr>
          <w:p>
            <w:r>
              <w:rPr>
                <w:rFonts w:ascii="Arial" w:hAnsi="Arial"/>
                <w:sz w:val="14"/>
              </w:rPr>
              <w:t>Decision-relevant journey information matters more than generic disruption status alone.</w:t>
            </w:r>
          </w:p>
        </w:tc>
        <w:tc>
          <w:tcPr>
            <w:tcW w:type="dxa" w:w="1728"/>
            <w:vAlign w:val="top"/>
          </w:tcPr>
          <w:p>
            <w:r>
              <w:rPr>
                <w:rFonts w:ascii="Arial" w:hAnsi="Arial"/>
                <w:sz w:val="14"/>
              </w:rPr>
              <w:t>Participants relied on combinations of ETA, delay severity/duration, connections, transfers, walking, alternatives, recommendation reasons and personal journey impact.</w:t>
            </w:r>
          </w:p>
        </w:tc>
        <w:tc>
          <w:tcPr>
            <w:tcW w:type="dxa" w:w="1728"/>
            <w:vAlign w:val="top"/>
          </w:tcPr>
          <w:p>
            <w:r>
              <w:rPr>
                <w:rFonts w:ascii="Arial" w:hAnsi="Arial"/>
                <w:sz w:val="14"/>
              </w:rPr>
              <w:t>Nielsen: Recognition rather than recall; Match with real world; Flexibility/efficiency. PACE+W: Perception; Cognition; Action. Inductive: Wait versus change and arrival-impact reasoning.</w:t>
            </w:r>
          </w:p>
        </w:tc>
        <w:tc>
          <w:tcPr>
            <w:tcW w:type="dxa" w:w="1728"/>
            <w:vAlign w:val="top"/>
          </w:tcPr>
          <w:p>
            <w:r>
              <w:rPr>
                <w:rFonts w:ascii="Arial" w:hAnsi="Arial"/>
                <w:sz w:val="14"/>
              </w:rPr>
              <w:t>Nielsen 10/15 for a bundle of journey attributes; PACE+W 12/16 for decision-relevant information.</w:t>
            </w:r>
          </w:p>
        </w:tc>
        <w:tc>
          <w:tcPr>
            <w:tcW w:type="dxa" w:w="1728"/>
            <w:vAlign w:val="top"/>
          </w:tcPr>
          <w:p>
            <w:r>
              <w:rPr>
                <w:rFonts w:ascii="Arial" w:hAnsi="Arial"/>
                <w:sz w:val="14"/>
              </w:rPr>
              <w:t>Participants did not prioritise the same attributes; P04/P05 had prototype-coverage issues that limited evaluation.</w:t>
            </w:r>
          </w:p>
        </w:tc>
        <w:tc>
          <w:tcPr>
            <w:tcW w:type="dxa" w:w="1728"/>
            <w:vAlign w:val="top"/>
          </w:tcPr>
          <w:p>
            <w:r>
              <w:rPr>
                <w:rFonts w:ascii="Arial" w:hAnsi="Arial"/>
                <w:sz w:val="14"/>
              </w:rPr>
              <w:t>Identifies useful information categories; it does not imply all fields should be shown at once or prioritised equally.</w:t>
            </w:r>
          </w:p>
        </w:tc>
      </w:tr>
    </w:tbl>
    <w:p>
      <w:pPr>
        <w:pStyle w:val="Heading2"/>
      </w:pPr>
      <w:r>
        <w:t>2.2 Human Needs</w:t>
      </w:r>
    </w:p>
    <w:p>
      <w:r>
        <w:t>Do passengers perceive the disruption decision-support prototype as useful and easy to use when making travel decisions during service disruptions?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1728"/>
          </w:tcPr>
          <w:p>
            <w:r>
              <w:rPr>
                <w:rFonts w:ascii="Arial" w:hAnsi="Arial"/>
                <w:b/>
                <w:sz w:val="14"/>
              </w:rPr>
              <w:t>Theme as a claim</w:t>
            </w:r>
          </w:p>
        </w:tc>
        <w:tc>
          <w:tcPr>
            <w:tcW w:type="dxa" w:w="1728"/>
          </w:tcPr>
          <w:p>
            <w:r>
              <w:rPr>
                <w:rFonts w:ascii="Arial" w:hAnsi="Arial"/>
                <w:b/>
                <w:sz w:val="14"/>
              </w:rPr>
              <w:t>Short definition</w:t>
            </w:r>
          </w:p>
        </w:tc>
        <w:tc>
          <w:tcPr>
            <w:tcW w:type="dxa" w:w="1728"/>
          </w:tcPr>
          <w:p>
            <w:r>
              <w:rPr>
                <w:rFonts w:ascii="Arial" w:hAnsi="Arial"/>
                <w:b/>
                <w:sz w:val="14"/>
              </w:rPr>
              <w:t>Codes / evidence strands</w:t>
            </w:r>
          </w:p>
        </w:tc>
        <w:tc>
          <w:tcPr>
            <w:tcW w:type="dxa" w:w="1728"/>
          </w:tcPr>
          <w:p>
            <w:r>
              <w:rPr>
                <w:rFonts w:ascii="Arial" w:hAnsi="Arial"/>
                <w:b/>
                <w:sz w:val="14"/>
              </w:rPr>
              <w:t>Participants counted</w:t>
            </w:r>
          </w:p>
        </w:tc>
        <w:tc>
          <w:tcPr>
            <w:tcW w:type="dxa" w:w="1728"/>
          </w:tcPr>
          <w:p>
            <w:r>
              <w:rPr>
                <w:rFonts w:ascii="Arial" w:hAnsi="Arial"/>
                <w:b/>
                <w:sz w:val="14"/>
              </w:rPr>
              <w:t>Counter-example / boundary</w:t>
            </w:r>
          </w:p>
        </w:tc>
        <w:tc>
          <w:tcPr>
            <w:tcW w:type="dxa" w:w="1728"/>
          </w:tcPr>
          <w:p>
            <w:r>
              <w:rPr>
                <w:rFonts w:ascii="Arial" w:hAnsi="Arial"/>
                <w:b/>
                <w:sz w:val="14"/>
              </w:rPr>
              <w:t>Bound</w:t>
            </w:r>
          </w:p>
        </w:tc>
      </w:tr>
      <w:tr>
        <w:tc>
          <w:tcPr>
            <w:tcW w:type="dxa" w:w="1728"/>
            <w:vAlign w:val="top"/>
          </w:tcPr>
          <w:p>
            <w:r>
              <w:rPr>
                <w:rFonts w:ascii="Arial" w:hAnsi="Arial"/>
                <w:sz w:val="14"/>
              </w:rPr>
              <w:t>Structured recommendations can reduce decision effort while preserving user control.</w:t>
            </w:r>
          </w:p>
        </w:tc>
        <w:tc>
          <w:tcPr>
            <w:tcW w:type="dxa" w:w="1728"/>
            <w:vAlign w:val="top"/>
          </w:tcPr>
          <w:p>
            <w:r>
              <w:rPr>
                <w:rFonts w:ascii="Arial" w:hAnsi="Arial"/>
                <w:sz w:val="14"/>
              </w:rPr>
              <w:t>A clear best option, reasons, ranking and comparison parameters provide a starting point while allowing passengers to inspect alternatives and reject the recommendation.</w:t>
            </w:r>
          </w:p>
        </w:tc>
        <w:tc>
          <w:tcPr>
            <w:tcW w:type="dxa" w:w="1728"/>
            <w:vAlign w:val="top"/>
          </w:tcPr>
          <w:p>
            <w:r>
              <w:rPr>
                <w:rFonts w:ascii="Arial" w:hAnsi="Arial"/>
                <w:sz w:val="14"/>
              </w:rPr>
              <w:t>Inductive: Clear recommended option; Personalised priorities. Nielsen: User control/freedom; Flexibility/efficiency; Recognition rather than recall. PACE+W: Cognition; Perception; Action.</w:t>
            </w:r>
          </w:p>
        </w:tc>
        <w:tc>
          <w:tcPr>
            <w:tcW w:type="dxa" w:w="1728"/>
            <w:vAlign w:val="top"/>
          </w:tcPr>
          <w:p>
            <w:r>
              <w:rPr>
                <w:rFonts w:ascii="Arial" w:hAnsi="Arial"/>
                <w:sz w:val="14"/>
              </w:rPr>
              <w:t>Inductive 8/14; Nielsen evidence includes preference/ranking control (5/15 in 1.1 and related 2.2 themes); PACE+W 7/16.</w:t>
            </w:r>
          </w:p>
        </w:tc>
        <w:tc>
          <w:tcPr>
            <w:tcW w:type="dxa" w:w="1728"/>
            <w:vAlign w:val="top"/>
          </w:tcPr>
          <w:p>
            <w:r>
              <w:rPr>
                <w:rFonts w:ascii="Arial" w:hAnsi="Arial"/>
                <w:sz w:val="14"/>
              </w:rPr>
              <w:t>PACE+W P15 explicitly did not want to accept ranking blindly; Inductive P01 still found underlying logic busy.</w:t>
            </w:r>
          </w:p>
        </w:tc>
        <w:tc>
          <w:tcPr>
            <w:tcW w:type="dxa" w:w="1728"/>
            <w:vAlign w:val="top"/>
          </w:tcPr>
          <w:p>
            <w:r>
              <w:rPr>
                <w:rFonts w:ascii="Arial" w:hAnsi="Arial"/>
                <w:sz w:val="14"/>
              </w:rPr>
              <w:t>Supports experienced usefulness/ease, not objective optimality of recommendations.</w:t>
            </w:r>
          </w:p>
        </w:tc>
      </w:tr>
      <w:tr>
        <w:tc>
          <w:tcPr>
            <w:tcW w:type="dxa" w:w="1728"/>
            <w:vAlign w:val="top"/>
          </w:tcPr>
          <w:p>
            <w:r>
              <w:rPr>
                <w:rFonts w:ascii="Arial" w:hAnsi="Arial"/>
                <w:sz w:val="14"/>
              </w:rPr>
              <w:t>Perceived usefulness is judged against familiar travel tools and workflows.</w:t>
            </w:r>
          </w:p>
        </w:tc>
        <w:tc>
          <w:tcPr>
            <w:tcW w:type="dxa" w:w="1728"/>
            <w:vAlign w:val="top"/>
          </w:tcPr>
          <w:p>
            <w:r>
              <w:rPr>
                <w:rFonts w:ascii="Arial" w:hAnsi="Arial"/>
                <w:sz w:val="14"/>
              </w:rPr>
              <w:t>Participants compared the prototype with existing apps and valued it when it consolidated disruption-specific, journey-relevant support or offered a clear comparative advantage.</w:t>
            </w:r>
          </w:p>
        </w:tc>
        <w:tc>
          <w:tcPr>
            <w:tcW w:type="dxa" w:w="1728"/>
            <w:vAlign w:val="top"/>
          </w:tcPr>
          <w:p>
            <w:r>
              <w:rPr>
                <w:rFonts w:ascii="Arial" w:hAnsi="Arial"/>
                <w:sz w:val="14"/>
              </w:rPr>
              <w:t>Inductive: Existing apps as baseline. Nielsen: workflow fit / real-world match. PACE+W: Cognition; Perception.</w:t>
            </w:r>
          </w:p>
        </w:tc>
        <w:tc>
          <w:tcPr>
            <w:tcW w:type="dxa" w:w="1728"/>
            <w:vAlign w:val="top"/>
          </w:tcPr>
          <w:p>
            <w:r>
              <w:rPr>
                <w:rFonts w:ascii="Arial" w:hAnsi="Arial"/>
                <w:sz w:val="14"/>
              </w:rPr>
              <w:t>Inductive 11/14; PACE+W 9/16; Nielsen qualitative evidence also repeatedly compares the intervention with existing journey-planning workflows.</w:t>
            </w:r>
          </w:p>
        </w:tc>
        <w:tc>
          <w:tcPr>
            <w:tcW w:type="dxa" w:w="1728"/>
            <w:vAlign w:val="top"/>
          </w:tcPr>
          <w:p>
            <w:r>
              <w:rPr>
                <w:rFonts w:ascii="Arial" w:hAnsi="Arial"/>
                <w:sz w:val="14"/>
              </w:rPr>
              <w:t>Inductive P03 evaluated the tool more on standalone transfer information; PACE+W P08 preferred integration with an existing tool rather than a separate app.</w:t>
            </w:r>
          </w:p>
        </w:tc>
        <w:tc>
          <w:tcPr>
            <w:tcW w:type="dxa" w:w="1728"/>
            <w:vAlign w:val="top"/>
          </w:tcPr>
          <w:p>
            <w:r>
              <w:rPr>
                <w:rFonts w:ascii="Arial" w:hAnsi="Arial"/>
                <w:sz w:val="14"/>
              </w:rPr>
              <w:t>Supports conditional usefulness; it does not establish preference for this prototype over existing products.</w:t>
            </w:r>
          </w:p>
        </w:tc>
      </w:tr>
      <w:tr>
        <w:tc>
          <w:tcPr>
            <w:tcW w:type="dxa" w:w="1728"/>
            <w:vAlign w:val="top"/>
          </w:tcPr>
          <w:p>
            <w:r>
              <w:rPr>
                <w:rFonts w:ascii="Arial" w:hAnsi="Arial"/>
                <w:sz w:val="14"/>
              </w:rPr>
              <w:t>Ease of use depends on concise, consolidated and clearly differentiated information.</w:t>
            </w:r>
          </w:p>
        </w:tc>
        <w:tc>
          <w:tcPr>
            <w:tcW w:type="dxa" w:w="1728"/>
            <w:vAlign w:val="top"/>
          </w:tcPr>
          <w:p>
            <w:r>
              <w:rPr>
                <w:rFonts w:ascii="Arial" w:hAnsi="Arial"/>
                <w:sz w:val="14"/>
              </w:rPr>
              <w:t>Ease is strengthened when relevant information is brought together and weakened by dense screens, unclear comparison or uncertainty about the prototype's purpose.</w:t>
            </w:r>
          </w:p>
        </w:tc>
        <w:tc>
          <w:tcPr>
            <w:tcW w:type="dxa" w:w="1728"/>
            <w:vAlign w:val="top"/>
          </w:tcPr>
          <w:p>
            <w:r>
              <w:rPr>
                <w:rFonts w:ascii="Arial" w:hAnsi="Arial"/>
                <w:sz w:val="14"/>
              </w:rPr>
              <w:t>Inductive: Bring information into one place. Nielsen: Aesthetic/minimalist design; Recognition rather than recall; Help/documentation. PACE+W: Cognition; Perception; Emotion where explicit.</w:t>
            </w:r>
          </w:p>
        </w:tc>
        <w:tc>
          <w:tcPr>
            <w:tcW w:type="dxa" w:w="1728"/>
            <w:vAlign w:val="top"/>
          </w:tcPr>
          <w:p>
            <w:r>
              <w:rPr>
                <w:rFonts w:ascii="Arial" w:hAnsi="Arial"/>
                <w:sz w:val="14"/>
              </w:rPr>
              <w:t>Inductive 6/14 for consolidated information; PACE+W 5/16 for ease-of-use barriers; related Nielsen evidence identifies dense/text-heavy comparison barriers.</w:t>
            </w:r>
          </w:p>
        </w:tc>
        <w:tc>
          <w:tcPr>
            <w:tcW w:type="dxa" w:w="1728"/>
            <w:vAlign w:val="top"/>
          </w:tcPr>
          <w:p>
            <w:r>
              <w:rPr>
                <w:rFonts w:ascii="Arial" w:hAnsi="Arial"/>
                <w:sz w:val="14"/>
              </w:rPr>
              <w:t>Inductive P14 was comfortable checking multiple sources in severe disruption; PACE+W P03 described the prototype as understandable.</w:t>
            </w:r>
          </w:p>
        </w:tc>
        <w:tc>
          <w:tcPr>
            <w:tcW w:type="dxa" w:w="1728"/>
            <w:vAlign w:val="top"/>
          </w:tcPr>
          <w:p>
            <w:r>
              <w:rPr>
                <w:rFonts w:ascii="Arial" w:hAnsi="Arial"/>
                <w:sz w:val="14"/>
              </w:rPr>
              <w:t>Explains qualitative drivers/barriers of PEOU; final perceived-ease claim must be integrated with TAM.</w:t>
            </w:r>
          </w:p>
        </w:tc>
      </w:tr>
    </w:tbl>
    <w:p>
      <w:r>
        <w:br w:type="page"/>
      </w:r>
    </w:p>
    <w:p>
      <w:pPr>
        <w:pStyle w:val="Heading1"/>
      </w:pPr>
      <w:r>
        <w:t>Move 2 — Where the Strands Meet</w:t>
      </w:r>
    </w:p>
    <w:p>
      <w:r>
        <w:t>All 16 quantitative participants also completed the qualitative interview, so an interviewee-versus-non-interviewee typicality comparison is not applicable. The qualitative strands use slightly different analysed participant sets (Inductive P01–P14; Nielsen P01–P15; PACE+W P01–P16), which is retained explicitly below.</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tcPr>
          <w:p>
            <w:r>
              <w:rPr>
                <w:rFonts w:ascii="Arial" w:hAnsi="Arial"/>
                <w:b/>
                <w:sz w:val="15"/>
              </w:rPr>
              <w:t>Committed question</w:t>
            </w:r>
          </w:p>
        </w:tc>
        <w:tc>
          <w:tcPr>
            <w:tcW w:type="dxa" w:w="2074"/>
          </w:tcPr>
          <w:p>
            <w:r>
              <w:rPr>
                <w:rFonts w:ascii="Arial" w:hAnsi="Arial"/>
                <w:b/>
                <w:sz w:val="15"/>
              </w:rPr>
              <w:t>Quantitative finding</w:t>
            </w:r>
          </w:p>
        </w:tc>
        <w:tc>
          <w:tcPr>
            <w:tcW w:type="dxa" w:w="2074"/>
          </w:tcPr>
          <w:p>
            <w:r>
              <w:rPr>
                <w:rFonts w:ascii="Arial" w:hAnsi="Arial"/>
                <w:b/>
                <w:sz w:val="15"/>
              </w:rPr>
              <w:t>Qualitative finding</w:t>
            </w:r>
          </w:p>
        </w:tc>
        <w:tc>
          <w:tcPr>
            <w:tcW w:type="dxa" w:w="2074"/>
          </w:tcPr>
          <w:p>
            <w:r>
              <w:rPr>
                <w:rFonts w:ascii="Arial" w:hAnsi="Arial"/>
                <w:b/>
                <w:sz w:val="15"/>
              </w:rPr>
              <w:t>Relation</w:t>
            </w:r>
          </w:p>
        </w:tc>
        <w:tc>
          <w:tcPr>
            <w:tcW w:type="dxa" w:w="2074"/>
          </w:tcPr>
          <w:p>
            <w:r>
              <w:rPr>
                <w:rFonts w:ascii="Arial" w:hAnsi="Arial"/>
                <w:b/>
                <w:sz w:val="15"/>
              </w:rPr>
              <w:t>Integrated bounded sentence</w:t>
            </w:r>
          </w:p>
        </w:tc>
      </w:tr>
      <w:tr>
        <w:tc>
          <w:tcPr>
            <w:tcW w:type="dxa" w:w="2074"/>
            <w:vAlign w:val="top"/>
          </w:tcPr>
          <w:p>
            <w:r>
              <w:rPr>
                <w:rFonts w:ascii="Arial" w:hAnsi="Arial"/>
                <w:sz w:val="15"/>
              </w:rPr>
              <w:t>1.1 Interaction &amp; Interface</w:t>
            </w:r>
          </w:p>
        </w:tc>
        <w:tc>
          <w:tcPr>
            <w:tcW w:type="dxa" w:w="2074"/>
            <w:vAlign w:val="top"/>
          </w:tcPr>
          <w:p>
            <w:r>
              <w:rPr>
                <w:rFonts w:ascii="Arial" w:hAnsi="Arial"/>
                <w:sz w:val="15"/>
              </w:rPr>
              <w:t>15/16 (94%) completed unaided; 1/16 with assistance; all reached a viable final action. Median completion time 180 s (range 120–360). 14/16 rated option comparison 4–5 and 13/16 rated next-step clarity 4–5; both medians = 4.</w:t>
            </w:r>
          </w:p>
        </w:tc>
        <w:tc>
          <w:tcPr>
            <w:tcW w:type="dxa" w:w="2074"/>
            <w:vAlign w:val="top"/>
          </w:tcPr>
          <w:p>
            <w:r>
              <w:rPr>
                <w:rFonts w:ascii="Arial" w:hAnsi="Arial"/>
                <w:sz w:val="15"/>
              </w:rPr>
              <w:t>Across all three qualitative strands, dense early-stage information and unclear comparison created friction for a minority, while clear recommendations, ETA, transfers, maps and comparison cues supported action. The qualitative evidence explains why high completion can coexist with hesitation.</w:t>
            </w:r>
          </w:p>
        </w:tc>
        <w:tc>
          <w:tcPr>
            <w:tcW w:type="dxa" w:w="2074"/>
            <w:vAlign w:val="top"/>
          </w:tcPr>
          <w:p>
            <w:r>
              <w:rPr>
                <w:rFonts w:ascii="Arial" w:hAnsi="Arial"/>
                <w:sz w:val="15"/>
              </w:rPr>
              <w:t>Convergence with qualification</w:t>
            </w:r>
          </w:p>
        </w:tc>
        <w:tc>
          <w:tcPr>
            <w:tcW w:type="dxa" w:w="2074"/>
            <w:vAlign w:val="top"/>
          </w:tcPr>
          <w:p>
            <w:r>
              <w:rPr>
                <w:rFonts w:ascii="Arial" w:hAnsi="Arial"/>
                <w:sz w:val="15"/>
              </w:rPr>
              <w:t>The evidence suggests that most participants could independently complete the flow, but successful completion was not uniformly effortless. This is descriptive evidence from 16 moderate/high-frequency public-transport users.</w:t>
            </w:r>
          </w:p>
        </w:tc>
      </w:tr>
      <w:tr>
        <w:tc>
          <w:tcPr>
            <w:tcW w:type="dxa" w:w="2074"/>
            <w:vAlign w:val="top"/>
          </w:tcPr>
          <w:p>
            <w:r>
              <w:rPr>
                <w:rFonts w:ascii="Arial" w:hAnsi="Arial"/>
                <w:sz w:val="15"/>
              </w:rPr>
              <w:t>1.2 Prototype &amp; Technical</w:t>
            </w:r>
          </w:p>
        </w:tc>
        <w:tc>
          <w:tcPr>
            <w:tcW w:type="dxa" w:w="2074"/>
            <w:vAlign w:val="top"/>
          </w:tcPr>
          <w:p>
            <w:r>
              <w:rPr>
                <w:rFonts w:ascii="Arial" w:hAnsi="Arial"/>
                <w:sz w:val="15"/>
              </w:rPr>
              <w:t>The supplied quantitative analysis does not contain a technical Pass/Fail measure for update correctness.</w:t>
            </w:r>
          </w:p>
        </w:tc>
        <w:tc>
          <w:tcPr>
            <w:tcW w:type="dxa" w:w="2074"/>
            <w:vAlign w:val="top"/>
          </w:tcPr>
          <w:p>
            <w:r>
              <w:rPr>
                <w:rFonts w:ascii="Arial" w:hAnsi="Arial"/>
                <w:sz w:val="15"/>
              </w:rPr>
              <w:t>Inductive, Nielsen and PACE+W converge on perceived freshness/reliability concerns, downstream journey-impact expectations and limitations caused by missing routes or weak disruption scenarios. All three explicitly distinguish perception from technical correctness.</w:t>
            </w:r>
          </w:p>
        </w:tc>
        <w:tc>
          <w:tcPr>
            <w:tcW w:type="dxa" w:w="2074"/>
            <w:vAlign w:val="top"/>
          </w:tcPr>
          <w:p>
            <w:r>
              <w:rPr>
                <w:rFonts w:ascii="Arial" w:hAnsi="Arial"/>
                <w:sz w:val="15"/>
              </w:rPr>
              <w:t>Silence on technical correctness; qualitative convergence on user expectations</w:t>
            </w:r>
          </w:p>
        </w:tc>
        <w:tc>
          <w:tcPr>
            <w:tcW w:type="dxa" w:w="2074"/>
            <w:vAlign w:val="top"/>
          </w:tcPr>
          <w:p>
            <w:r>
              <w:rPr>
                <w:rFonts w:ascii="Arial" w:hAnsi="Arial"/>
                <w:sz w:val="15"/>
              </w:rPr>
              <w:t>The current integrated evidence cannot establish whether updates were technically correct. It establishes what users expected from reliable updates and where prototype fidelity limited evaluation; the defined Technical Check is required for a correctness claim.</w:t>
            </w:r>
          </w:p>
        </w:tc>
      </w:tr>
      <w:tr>
        <w:tc>
          <w:tcPr>
            <w:tcW w:type="dxa" w:w="2074"/>
            <w:vAlign w:val="top"/>
          </w:tcPr>
          <w:p>
            <w:r>
              <w:rPr>
                <w:rFonts w:ascii="Arial" w:hAnsi="Arial"/>
                <w:sz w:val="15"/>
              </w:rPr>
              <w:t>2.1 In-context Use</w:t>
            </w:r>
          </w:p>
        </w:tc>
        <w:tc>
          <w:tcPr>
            <w:tcW w:type="dxa" w:w="2074"/>
            <w:vAlign w:val="top"/>
          </w:tcPr>
          <w:p>
            <w:r>
              <w:rPr>
                <w:rFonts w:ascii="Arial" w:hAnsi="Arial"/>
                <w:sz w:val="15"/>
              </w:rPr>
              <w:t>The strongest usefulness item was deciding whether the current travel plan needed to change: 9/16 selected 5, median = 5. Understanding personal journey impact had median = 4.5, with 8/16 selecting 5.</w:t>
            </w:r>
          </w:p>
        </w:tc>
        <w:tc>
          <w:tcPr>
            <w:tcW w:type="dxa" w:w="2074"/>
            <w:vAlign w:val="top"/>
          </w:tcPr>
          <w:p>
            <w:r>
              <w:rPr>
                <w:rFonts w:ascii="Arial" w:hAnsi="Arial"/>
                <w:sz w:val="15"/>
              </w:rPr>
              <w:t>All qualitative strands converge that support is most valuable at meaningful personal decision points. Delay/urgency thresholds shape wait-versus-change decisions, and participants prioritise journey-relevant information such as ETA, connections, transfers and alternatives.</w:t>
            </w:r>
          </w:p>
        </w:tc>
        <w:tc>
          <w:tcPr>
            <w:tcW w:type="dxa" w:w="2074"/>
            <w:vAlign w:val="top"/>
          </w:tcPr>
          <w:p>
            <w:r>
              <w:rPr>
                <w:rFonts w:ascii="Arial" w:hAnsi="Arial"/>
                <w:sz w:val="15"/>
              </w:rPr>
              <w:t>Convergence</w:t>
            </w:r>
          </w:p>
        </w:tc>
        <w:tc>
          <w:tcPr>
            <w:tcW w:type="dxa" w:w="2074"/>
            <w:vAlign w:val="top"/>
          </w:tcPr>
          <w:p>
            <w:r>
              <w:rPr>
                <w:rFonts w:ascii="Arial" w:hAnsi="Arial"/>
                <w:sz w:val="15"/>
              </w:rPr>
              <w:t>The evidence suggests that disruption support is most valuable when a service change creates a meaningful personal decision point, but it does not establish one universal threshold or identical information priorities for all passengers.</w:t>
            </w:r>
          </w:p>
        </w:tc>
      </w:tr>
      <w:tr>
        <w:tc>
          <w:tcPr>
            <w:tcW w:type="dxa" w:w="2074"/>
            <w:vAlign w:val="top"/>
          </w:tcPr>
          <w:p>
            <w:r>
              <w:rPr>
                <w:rFonts w:ascii="Arial" w:hAnsi="Arial"/>
                <w:sz w:val="15"/>
              </w:rPr>
              <w:t>2.2 Human Needs</w:t>
            </w:r>
          </w:p>
        </w:tc>
        <w:tc>
          <w:tcPr>
            <w:tcW w:type="dxa" w:w="2074"/>
            <w:vAlign w:val="top"/>
          </w:tcPr>
          <w:p>
            <w:r>
              <w:rPr>
                <w:rFonts w:ascii="Arial" w:hAnsi="Arial"/>
                <w:sz w:val="15"/>
              </w:rPr>
              <w:t>All four PEOU items had median = 4. The strongest PU item had median = 5; broader usefulness measures were positive. 13/16 rated overall decision confidence 4–5 (median = 4), although confidence cannot be attributed solely to the prototype.</w:t>
            </w:r>
          </w:p>
        </w:tc>
        <w:tc>
          <w:tcPr>
            <w:tcW w:type="dxa" w:w="2074"/>
            <w:vAlign w:val="top"/>
          </w:tcPr>
          <w:p>
            <w:r>
              <w:rPr>
                <w:rFonts w:ascii="Arial" w:hAnsi="Arial"/>
                <w:sz w:val="15"/>
              </w:rPr>
              <w:t>Qualitative findings explain the positive ratings: structured recommendations and consolidated information can reduce decision effort, but usefulness is benchmarked against familiar apps and ease is weakened by density, unclear comparison or unclear product purpose.</w:t>
            </w:r>
          </w:p>
        </w:tc>
        <w:tc>
          <w:tcPr>
            <w:tcW w:type="dxa" w:w="2074"/>
            <w:vAlign w:val="top"/>
          </w:tcPr>
          <w:p>
            <w:r>
              <w:rPr>
                <w:rFonts w:ascii="Arial" w:hAnsi="Arial"/>
                <w:sz w:val="15"/>
              </w:rPr>
              <w:t>Convergence with qualification</w:t>
            </w:r>
          </w:p>
        </w:tc>
        <w:tc>
          <w:tcPr>
            <w:tcW w:type="dxa" w:w="2074"/>
            <w:vAlign w:val="top"/>
          </w:tcPr>
          <w:p>
            <w:r>
              <w:rPr>
                <w:rFonts w:ascii="Arial" w:hAnsi="Arial"/>
                <w:sz w:val="15"/>
              </w:rPr>
              <w:t>The evidence suggests that participants generally perceived the prototype as useful and easy to use, especially for deciding whether to change plans, while this value depended on concise, trustworthy and clearly differentiated journey support.</w:t>
            </w:r>
          </w:p>
        </w:tc>
      </w:tr>
    </w:tbl>
    <w:p>
      <w:pPr>
        <w:pStyle w:val="Heading1"/>
      </w:pPr>
      <w:r>
        <w:t>Move 3 — Findings Bounded in the Register</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tcPr>
          <w:p>
            <w:r>
              <w:rPr>
                <w:rFonts w:ascii="Arial" w:hAnsi="Arial"/>
                <w:b/>
                <w:sz w:val="16"/>
              </w:rPr>
              <w:t>Question</w:t>
            </w:r>
          </w:p>
        </w:tc>
        <w:tc>
          <w:tcPr>
            <w:tcW w:type="dxa" w:w="2592"/>
          </w:tcPr>
          <w:p>
            <w:r>
              <w:rPr>
                <w:rFonts w:ascii="Arial" w:hAnsi="Arial"/>
                <w:b/>
                <w:sz w:val="16"/>
              </w:rPr>
              <w:t>Register word</w:t>
            </w:r>
          </w:p>
        </w:tc>
        <w:tc>
          <w:tcPr>
            <w:tcW w:type="dxa" w:w="2592"/>
          </w:tcPr>
          <w:p>
            <w:r>
              <w:rPr>
                <w:rFonts w:ascii="Arial" w:hAnsi="Arial"/>
                <w:b/>
                <w:sz w:val="16"/>
              </w:rPr>
              <w:t>Bounded finding</w:t>
            </w:r>
          </w:p>
        </w:tc>
        <w:tc>
          <w:tcPr>
            <w:tcW w:type="dxa" w:w="2592"/>
          </w:tcPr>
          <w:p>
            <w:r>
              <w:rPr>
                <w:rFonts w:ascii="Arial" w:hAnsi="Arial"/>
                <w:b/>
                <w:sz w:val="16"/>
              </w:rPr>
              <w:t>Explicit bound</w:t>
            </w:r>
          </w:p>
        </w:tc>
      </w:tr>
      <w:tr>
        <w:tc>
          <w:tcPr>
            <w:tcW w:type="dxa" w:w="2592"/>
          </w:tcPr>
          <w:p>
            <w:r>
              <w:rPr>
                <w:rFonts w:ascii="Arial" w:hAnsi="Arial"/>
                <w:sz w:val="16"/>
              </w:rPr>
              <w:t>1.1</w:t>
            </w:r>
          </w:p>
        </w:tc>
        <w:tc>
          <w:tcPr>
            <w:tcW w:type="dxa" w:w="2592"/>
          </w:tcPr>
          <w:p>
            <w:r>
              <w:rPr>
                <w:rFonts w:ascii="Arial" w:hAnsi="Arial"/>
                <w:sz w:val="16"/>
              </w:rPr>
              <w:t>SUGGESTS</w:t>
            </w:r>
          </w:p>
        </w:tc>
        <w:tc>
          <w:tcPr>
            <w:tcW w:type="dxa" w:w="2592"/>
          </w:tcPr>
          <w:p>
            <w:r>
              <w:rPr>
                <w:rFonts w:ascii="Arial" w:hAnsi="Arial"/>
                <w:sz w:val="16"/>
              </w:rPr>
              <w:t>The evidence suggests that most first-time participants could independently complete the core disruption-information and option-selection flow, with 15/16 completing unaided, although qualitative evidence across the three analyses shows that information density and unclear comparison made successful completion less effortless for some participants.</w:t>
            </w:r>
          </w:p>
        </w:tc>
        <w:tc>
          <w:tcPr>
            <w:tcW w:type="dxa" w:w="2592"/>
          </w:tcPr>
          <w:p>
            <w:r>
              <w:rPr>
                <w:rFonts w:ascii="Arial" w:hAnsi="Arial"/>
                <w:sz w:val="16"/>
              </w:rPr>
              <w:t>Bound: n=16; only moderate/high-frequency public-transport users; unaided completion includes assistance Levels 0–1.</w:t>
            </w:r>
          </w:p>
        </w:tc>
      </w:tr>
      <w:tr>
        <w:tc>
          <w:tcPr>
            <w:tcW w:type="dxa" w:w="2592"/>
          </w:tcPr>
          <w:p>
            <w:r>
              <w:rPr>
                <w:rFonts w:ascii="Arial" w:hAnsi="Arial"/>
                <w:sz w:val="16"/>
              </w:rPr>
              <w:t>1.2</w:t>
            </w:r>
          </w:p>
        </w:tc>
        <w:tc>
          <w:tcPr>
            <w:tcW w:type="dxa" w:w="2592"/>
          </w:tcPr>
          <w:p>
            <w:r>
              <w:rPr>
                <w:rFonts w:ascii="Arial" w:hAnsi="Arial"/>
                <w:sz w:val="16"/>
              </w:rPr>
              <w:t>CANNOT ESTABLISH</w:t>
            </w:r>
          </w:p>
        </w:tc>
        <w:tc>
          <w:tcPr>
            <w:tcW w:type="dxa" w:w="2592"/>
          </w:tcPr>
          <w:p>
            <w:r>
              <w:rPr>
                <w:rFonts w:ascii="Arial" w:hAnsi="Arial"/>
                <w:sz w:val="16"/>
              </w:rPr>
              <w:t>The current integrated evidence cannot establish whether the prototype technically updated disruption status, journey impacts and alternatives correctly, because the supplied quantitative analysis contains no technical Pass/Fail measure; qualitative evidence instead establishes that users expected fresh, reliable information and downstream journey consequences to update consistently.</w:t>
            </w:r>
          </w:p>
        </w:tc>
        <w:tc>
          <w:tcPr>
            <w:tcW w:type="dxa" w:w="2592"/>
          </w:tcPr>
          <w:p>
            <w:r>
              <w:rPr>
                <w:rFonts w:ascii="Arial" w:hAnsi="Arial"/>
                <w:sz w:val="16"/>
              </w:rPr>
              <w:t>Bound: technical correctness requires the separate Technical Check; qualitative perception must not be substituted for system verification.</w:t>
            </w:r>
          </w:p>
        </w:tc>
      </w:tr>
      <w:tr>
        <w:tc>
          <w:tcPr>
            <w:tcW w:type="dxa" w:w="2592"/>
          </w:tcPr>
          <w:p>
            <w:r>
              <w:rPr>
                <w:rFonts w:ascii="Arial" w:hAnsi="Arial"/>
                <w:sz w:val="16"/>
              </w:rPr>
              <w:t>2.1</w:t>
            </w:r>
          </w:p>
        </w:tc>
        <w:tc>
          <w:tcPr>
            <w:tcW w:type="dxa" w:w="2592"/>
          </w:tcPr>
          <w:p>
            <w:r>
              <w:rPr>
                <w:rFonts w:ascii="Arial" w:hAnsi="Arial"/>
                <w:sz w:val="16"/>
              </w:rPr>
              <w:t>SUGGESTS</w:t>
            </w:r>
          </w:p>
        </w:tc>
        <w:tc>
          <w:tcPr>
            <w:tcW w:type="dxa" w:w="2592"/>
          </w:tcPr>
          <w:p>
            <w:r>
              <w:rPr>
                <w:rFonts w:ascii="Arial" w:hAnsi="Arial"/>
                <w:sz w:val="16"/>
              </w:rPr>
              <w:t>The evidence suggests that passengers value disruption support most when a service change creates a meaningful personal decision point, using factors such as delay, urgency, ETA, connections, transfers and alternatives to decide whether to wait or change, although the evidence does not establish one universal threshold or information priority.</w:t>
            </w:r>
          </w:p>
        </w:tc>
        <w:tc>
          <w:tcPr>
            <w:tcW w:type="dxa" w:w="2592"/>
          </w:tcPr>
          <w:p>
            <w:r>
              <w:rPr>
                <w:rFonts w:ascii="Arial" w:hAnsi="Arial"/>
                <w:sz w:val="16"/>
              </w:rPr>
              <w:t>Bound: descriptive sample evidence; some participants also saw value outside active disruption.</w:t>
            </w:r>
          </w:p>
        </w:tc>
      </w:tr>
      <w:tr>
        <w:tc>
          <w:tcPr>
            <w:tcW w:type="dxa" w:w="2592"/>
          </w:tcPr>
          <w:p>
            <w:r>
              <w:rPr>
                <w:rFonts w:ascii="Arial" w:hAnsi="Arial"/>
                <w:sz w:val="16"/>
              </w:rPr>
              <w:t>2.2</w:t>
            </w:r>
          </w:p>
        </w:tc>
        <w:tc>
          <w:tcPr>
            <w:tcW w:type="dxa" w:w="2592"/>
          </w:tcPr>
          <w:p>
            <w:r>
              <w:rPr>
                <w:rFonts w:ascii="Arial" w:hAnsi="Arial"/>
                <w:sz w:val="16"/>
              </w:rPr>
              <w:t>SUGGESTS</w:t>
            </w:r>
          </w:p>
        </w:tc>
        <w:tc>
          <w:tcPr>
            <w:tcW w:type="dxa" w:w="2592"/>
          </w:tcPr>
          <w:p>
            <w:r>
              <w:rPr>
                <w:rFonts w:ascii="Arial" w:hAnsi="Arial"/>
                <w:sz w:val="16"/>
              </w:rPr>
              <w:t>The evidence suggests that participants generally perceived the prototype as useful and easy to use, particularly for deciding whether their current travel plan needed to change, while qualitative findings show that perceived value depended on concise, consolidated and trustworthy information and a clear advantage within familiar travel workflows.</w:t>
            </w:r>
          </w:p>
        </w:tc>
        <w:tc>
          <w:tcPr>
            <w:tcW w:type="dxa" w:w="2592"/>
          </w:tcPr>
          <w:p>
            <w:r>
              <w:rPr>
                <w:rFonts w:ascii="Arial" w:hAnsi="Arial"/>
                <w:sz w:val="16"/>
              </w:rPr>
              <w:t>Bound: positive TAM ratings apply to this sample; decision confidence cannot be attributed solely to the prototype; no low-frequency public-transport users were represented.</w:t>
            </w:r>
          </w:p>
        </w:tc>
      </w:tr>
    </w:tbl>
    <w:p>
      <w:pPr>
        <w:pStyle w:val="Heading1"/>
      </w:pPr>
      <w:r>
        <w:t>Claim-Strength Check</w:t>
      </w:r>
    </w:p>
    <w:p>
      <w:r>
        <w:t>Use the team's exact Week 5 prospective-claim wording when inserting this section into the final Research Notebook. The evidence-supported position is: 1.1 suggests independent completion with usability friction; 1.2 cannot establish technical correctness from these five supplied files; 2.1 suggests a disruption-first, decision-point use case; and 2.2 suggests generally positive usefulness/ease with clear conditions and sample limits.</w:t>
      </w:r>
    </w:p>
    <w:p>
      <w:pPr>
        <w:pStyle w:val="Heading1"/>
      </w:pPr>
      <w:r>
        <w:t>Evidence-based Design Changes</w:t>
      </w:r>
    </w:p>
    <w:tbl>
      <w:tblPr>
        <w:tblStyle w:val="TableGrid"/>
        <w:tblW w:type="auto" w:w="0"/>
        <w:tblLook w:firstColumn="1" w:firstRow="1" w:lastColumn="0" w:lastRow="0" w:noHBand="0" w:noVBand="1" w:val="04A0"/>
      </w:tblPr>
      <w:tblGrid>
        <w:gridCol w:w="3456"/>
        <w:gridCol w:w="3456"/>
        <w:gridCol w:w="3456"/>
      </w:tblGrid>
      <w:tr>
        <w:trPr>
          <w:tblHeader w:val="true"/>
        </w:trPr>
        <w:tc>
          <w:tcPr>
            <w:tcW w:type="dxa" w:w="3456"/>
          </w:tcPr>
          <w:p>
            <w:r>
              <w:rPr>
                <w:b/>
              </w:rPr>
              <w:t>Priority</w:t>
            </w:r>
          </w:p>
        </w:tc>
        <w:tc>
          <w:tcPr>
            <w:tcW w:type="dxa" w:w="3456"/>
          </w:tcPr>
          <w:p>
            <w:r>
              <w:rPr>
                <w:b/>
              </w:rPr>
              <w:t>Design change</w:t>
            </w:r>
          </w:p>
        </w:tc>
        <w:tc>
          <w:tcPr>
            <w:tcW w:type="dxa" w:w="3456"/>
          </w:tcPr>
          <w:p>
            <w:r>
              <w:rPr>
                <w:b/>
              </w:rPr>
              <w:t>Evidence link</w:t>
            </w:r>
          </w:p>
        </w:tc>
      </w:tr>
      <w:tr>
        <w:tc>
          <w:tcPr>
            <w:tcW w:type="dxa" w:w="3456"/>
          </w:tcPr>
          <w:p>
            <w:r>
              <w:t>1 – High</w:t>
            </w:r>
          </w:p>
        </w:tc>
        <w:tc>
          <w:tcPr>
            <w:tcW w:type="dxa" w:w="3456"/>
          </w:tcPr>
          <w:p>
            <w:r>
              <w:t>Simplify and progressively disclose early-stage information.</w:t>
            </w:r>
          </w:p>
        </w:tc>
        <w:tc>
          <w:tcPr>
            <w:tcW w:type="dxa" w:w="3456"/>
          </w:tcPr>
          <w:p>
            <w:r>
              <w:t>1.1: all qualitative strands identify density/comparison friction despite high task completion.</w:t>
            </w:r>
          </w:p>
        </w:tc>
      </w:tr>
      <w:tr>
        <w:tc>
          <w:tcPr>
            <w:tcW w:type="dxa" w:w="3456"/>
          </w:tcPr>
          <w:p>
            <w:r>
              <w:t>2 – High</w:t>
            </w:r>
          </w:p>
        </w:tc>
        <w:tc>
          <w:tcPr>
            <w:tcW w:type="dxa" w:w="3456"/>
          </w:tcPr>
          <w:p>
            <w:r>
              <w:t>Make recommendation reasoning and comparison concise and directly visible.</w:t>
            </w:r>
          </w:p>
        </w:tc>
        <w:tc>
          <w:tcPr>
            <w:tcW w:type="dxa" w:w="3456"/>
          </w:tcPr>
          <w:p>
            <w:r>
              <w:t>1.1 and 2.2: recommendations, ETA, transfers, maps and ranking support decisions, but text-heavy or unclear comparison weakens ease.</w:t>
            </w:r>
          </w:p>
        </w:tc>
      </w:tr>
      <w:tr>
        <w:tc>
          <w:tcPr>
            <w:tcW w:type="dxa" w:w="3456"/>
          </w:tcPr>
          <w:p>
            <w:r>
              <w:t>3 – High</w:t>
            </w:r>
          </w:p>
        </w:tc>
        <w:tc>
          <w:tcPr>
            <w:tcW w:type="dxa" w:w="3456"/>
          </w:tcPr>
          <w:p>
            <w:r>
              <w:t>Make information freshness, reliability and downstream disruption consequences visible.</w:t>
            </w:r>
          </w:p>
        </w:tc>
        <w:tc>
          <w:tcPr>
            <w:tcW w:type="dxa" w:w="3456"/>
          </w:tcPr>
          <w:p>
            <w:r>
              <w:t>1.2: all qualitative strands identify trust/currentness expectations; technical correctness still requires Technical Check.</w:t>
            </w:r>
          </w:p>
        </w:tc>
      </w:tr>
      <w:tr>
        <w:tc>
          <w:tcPr>
            <w:tcW w:type="dxa" w:w="3456"/>
          </w:tcPr>
          <w:p>
            <w:r>
              <w:t>4 – Medium–High</w:t>
            </w:r>
          </w:p>
        </w:tc>
        <w:tc>
          <w:tcPr>
            <w:tcW w:type="dxa" w:w="3456"/>
          </w:tcPr>
          <w:p>
            <w:r>
              <w:t>Trigger and tailor support around meaningful personal journey consequences.</w:t>
            </w:r>
          </w:p>
        </w:tc>
        <w:tc>
          <w:tcPr>
            <w:tcW w:type="dxa" w:w="3456"/>
          </w:tcPr>
          <w:p>
            <w:r>
              <w:t>2.1: qualitative strands converge on delay/urgency thresholds and wait-versus-change reasoning; quantitative usefulness is strongest for deciding whether the current plan must change.</w:t>
            </w:r>
          </w:p>
        </w:tc>
      </w:tr>
      <w:tr>
        <w:tc>
          <w:tcPr>
            <w:tcW w:type="dxa" w:w="3456"/>
          </w:tcPr>
          <w:p>
            <w:r>
              <w:t>5 – Medium</w:t>
            </w:r>
          </w:p>
        </w:tc>
        <w:tc>
          <w:tcPr>
            <w:tcW w:type="dxa" w:w="3456"/>
          </w:tcPr>
          <w:p>
            <w:r>
              <w:t>Clarify how the prototype adds value alongside familiar travel tools.</w:t>
            </w:r>
          </w:p>
        </w:tc>
        <w:tc>
          <w:tcPr>
            <w:tcW w:type="dxa" w:w="3456"/>
          </w:tcPr>
          <w:p>
            <w:r>
              <w:t>2.2: usefulness is repeatedly benchmarked against existing apps/workflows; some participants preferred integration rather than a separate tool.</w:t>
            </w:r>
          </w:p>
        </w:tc>
      </w:tr>
    </w:tbl>
    <w:p>
      <w:pPr>
        <w:pStyle w:val="Heading1"/>
      </w:pPr>
      <w:r>
        <w:t>Status</w:t>
      </w:r>
    </w:p>
    <w:p>
      <w:r>
        <w:t>This document completes the Week 8 integration work that can be supported by the five supplied analysis files: team-level themes, one integration row per committed question, relation labels, and bounded findings. Question 1.2 remains intentionally 'cannot establish' until the separate Technical Check is integrated. The systemic question register, challenge-round verification entry, C5 record, individual critical explanations, data-handling close and final notebook compilation are separate Week 8 completion tasks.</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