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Deductive Usability Findings P01 to P15</w:t>
      </w:r>
    </w:p>
    <w:p>
      <w:pPr>
        <w:pStyle w:val="Subtitle"/>
      </w:pPr>
      <w:r>
        <w:t>Nielsen heuristic analysis for the Public Transport Decision Assistant</w:t>
      </w:r>
    </w:p>
    <w:p>
      <w:r>
        <w:rPr>
          <w:b/>
          <w:color w:val="1F4E78"/>
        </w:rPr>
        <w:t xml:space="preserve">Main conclusion  </w:t>
      </w:r>
      <w:r>
        <w:t>The evidence suggests that the prototype works best as a focused decision support layer. It should explain how a disruption changes the current journey, present a small set of realistic alternatives, and show why the recommended option fits the traveller's priorities.</w:t>
      </w:r>
    </w:p>
    <w:p>
      <w:pPr>
        <w:pStyle w:val="Heading1"/>
      </w:pPr>
      <w:r>
        <w:t>Method</w:t>
      </w:r>
    </w:p>
    <w:p>
      <w:r>
        <w:t>We used a deductive thematic analysis for the usability question. Nielsen's ten usability heuristics and the required Does not fit the framework category formed the codebook. We coded de identified transcripts, post task evaluations and observation materials in NVivo, organised the files under participant cases P01 to P15, and used a participant by code matrix to describe the breadth of evidence. Multiple references from one participant counted once in the presence summary. Reference counts therefore show coded passages rather than prevalence or severity.</w:t>
      </w:r>
    </w:p>
    <w:p>
      <w:pPr>
        <w:pStyle w:val="Heading1"/>
      </w:pPr>
      <w:r>
        <w:t>Participant presence by code</w:t>
      </w:r>
    </w:p>
    <w:tbl>
      <w:tblPr>
        <w:tblW w:type="auto" w:w="0"/>
        <w:jc w:val="center"/>
        <w:tblLayout w:type="fixed"/>
        <w:tblLook w:firstColumn="1" w:firstRow="1" w:lastColumn="0" w:lastRow="0" w:noHBand="0" w:noVBand="1" w:val="04A0"/>
      </w:tblPr>
      <w:tblGrid>
        <w:gridCol w:w="3389"/>
        <w:gridCol w:w="3389"/>
        <w:gridCol w:w="3389"/>
      </w:tblGrid>
      <w:tr>
        <w:tc>
          <w:tcPr>
            <w:tcW w:type="dxa" w:w="676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color w:val="FFFFFF"/>
                <w:sz w:val="16"/>
              </w:rPr>
              <w:t>Code</w:t>
            </w:r>
          </w:p>
        </w:tc>
        <w:tc>
          <w:tcPr>
            <w:tcW w:type="dxa" w:w="180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color w:val="FFFFFF"/>
                <w:sz w:val="16"/>
              </w:rPr>
              <w:t>Participant presence</w:t>
            </w:r>
          </w:p>
        </w:tc>
        <w:tc>
          <w:tcPr>
            <w:tcW w:type="dxa" w:w="115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color w:val="FFFFFF"/>
                <w:sz w:val="16"/>
              </w:rPr>
              <w:t>Share</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Visibility of system status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15 of 15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100.0%</w:t>
            </w:r>
          </w:p>
        </w:tc>
      </w:tr>
      <w:tr>
        <w:tc>
          <w:tcPr>
            <w:tcW w:type="dxa" w:w="6768"/>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Match between system and the real world</w:t>
            </w:r>
          </w:p>
        </w:tc>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14 of 15</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93.3%</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Aesthetic and minimalist design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12 of 15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80.0%</w:t>
            </w:r>
          </w:p>
        </w:tc>
      </w:tr>
      <w:tr>
        <w:tc>
          <w:tcPr>
            <w:tcW w:type="dxa" w:w="6768"/>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Flexibility and efficiency of use</w:t>
            </w:r>
          </w:p>
        </w:tc>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11 of 15</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73.3%</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Recognition rather than recall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10 of 15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66.7%</w:t>
            </w:r>
          </w:p>
        </w:tc>
      </w:tr>
      <w:tr>
        <w:tc>
          <w:tcPr>
            <w:tcW w:type="dxa" w:w="6768"/>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Help and documentation</w:t>
            </w:r>
          </w:p>
        </w:tc>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9 of 15</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60.0%</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Consistency and standards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7 of 15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46.7%</w:t>
            </w:r>
          </w:p>
        </w:tc>
      </w:tr>
      <w:tr>
        <w:tc>
          <w:tcPr>
            <w:tcW w:type="dxa" w:w="6768"/>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User control and freedom</w:t>
            </w:r>
          </w:p>
        </w:tc>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5 of 15</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33.3%</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Error prevention</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3 of 15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20.0%</w:t>
            </w:r>
          </w:p>
        </w:tc>
      </w:tr>
      <w:tr>
        <w:tc>
          <w:tcPr>
            <w:tcW w:type="dxa" w:w="6768"/>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Help users recognise diagnose and recover from errors</w:t>
            </w:r>
          </w:p>
        </w:tc>
        <w:tc>
          <w:tcPr>
            <w:tcW w:type="dxa" w:w="180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0 of 15</w:t>
            </w:r>
          </w:p>
        </w:tc>
        <w:tc>
          <w:tcPr>
            <w:tcW w:type="dxa" w:w="1152"/>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0.0%</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Does not fit the framework</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2 of 15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13.3%</w:t>
            </w:r>
          </w:p>
        </w:tc>
      </w:tr>
    </w:tbl>
    <w:p>
      <w:pPr>
        <w:pStyle w:val="Heading1"/>
      </w:pPr>
      <w:r>
        <w:t>Refined findings</w:t>
      </w:r>
    </w:p>
    <w:p>
      <w:pPr>
        <w:pStyle w:val="Heading2"/>
      </w:pPr>
      <w:r>
        <w:t>1  Current personal impact is the basis for trust and action</w:t>
      </w:r>
    </w:p>
    <w:p>
      <w:r>
        <w:rPr>
          <w:b/>
          <w:color w:val="1F4E78"/>
        </w:rPr>
        <w:t xml:space="preserve">Finding  </w:t>
      </w:r>
      <w:r>
        <w:t>Status information appeared across all 15 participant cases, and real world journey fit appeared in 14. Participants needed the system to connect a service event to their route, arrival time, transfers and connection risk. They also needed timely and trustworthy updates. The evidence suggests that a disruption label alone is insufficient for a confident decision.</w:t>
      </w:r>
    </w:p>
    <w:p>
      <w:r>
        <w:rPr>
          <w:b/>
        </w:rPr>
        <w:t xml:space="preserve">Design implication  </w:t>
      </w:r>
      <w:r>
        <w:t>Show the affected journey leg, revised arrival, delay duration, connection risk, data source and last update time in one prominent journey impact summary.</w:t>
      </w:r>
    </w:p>
    <w:p>
      <w:pPr>
        <w:pStyle w:val="Heading2"/>
      </w:pPr>
      <w:r>
        <w:t>2  The intervention should be selective and fit familiar journey planning</w:t>
      </w:r>
    </w:p>
    <w:p>
      <w:r>
        <w:rPr>
          <w:b/>
          <w:color w:val="1F4E78"/>
        </w:rPr>
        <w:t xml:space="preserve">Finding  </w:t>
      </w:r>
      <w:r>
        <w:t>Minimalist design appeared in 12 participant cases, help in 9 and consistency in 7. Participants generally valued support when a disruption created a decision, but they resisted dense information, unavailable routes and comparison actions with nothing meaningful to compare. P15 adds a useful counterpoint because this participant also valued route ranking during normal service.</w:t>
      </w:r>
    </w:p>
    <w:p>
      <w:r>
        <w:rPr>
          <w:b/>
        </w:rPr>
        <w:t xml:space="preserve">Design implication  </w:t>
      </w:r>
      <w:r>
        <w:t>Activate detailed support when action may be required, while retaining a lightweight ranking view for users who want general decision support. Reuse familiar route names and journey planner interaction patterns.</w:t>
      </w:r>
    </w:p>
    <w:p>
      <w:pPr>
        <w:pStyle w:val="Heading2"/>
      </w:pPr>
      <w:r>
        <w:t>3  Transparent comparison reduces reasoning burden while preserving control</w:t>
      </w:r>
    </w:p>
    <w:p>
      <w:r>
        <w:rPr>
          <w:b/>
          <w:color w:val="1F4E78"/>
        </w:rPr>
        <w:t xml:space="preserve">Finding  </w:t>
      </w:r>
      <w:r>
        <w:t>Flexibility appeared in 11 participant cases and recognition rather than recall in 10. Participants wanted a small set of alternatives compared on arrival time, transfers, walking, cost and disruption risk. Preference controls appeared in 5 cases and helped users understand why recommendation order changed.</w:t>
      </w:r>
    </w:p>
    <w:p>
      <w:r>
        <w:rPr>
          <w:b/>
        </w:rPr>
        <w:t xml:space="preserve">Design implication  </w:t>
      </w:r>
      <w:r>
        <w:t>Place two or three viable options in stable comparison columns, keep the current route visible, provide a one sentence recommendation reason, and allow users to reorder results by their own priority.</w:t>
      </w:r>
    </w:p>
    <w:p>
      <w:pPr>
        <w:pStyle w:val="Heading1"/>
      </w:pPr>
      <w:r>
        <w:t>Claim boundaries</w:t>
      </w:r>
    </w:p>
    <w:p>
      <w:pPr>
        <w:pStyle w:val="ListBullet"/>
        <w:spacing w:after="40"/>
      </w:pPr>
      <w:r>
        <w:t>The findings describe these 15 participants and the prototype scenarios they encountered. They do not establish population prevalence.</w:t>
      </w:r>
    </w:p>
    <w:p>
      <w:pPr>
        <w:pStyle w:val="ListBullet"/>
        <w:spacing w:after="40"/>
      </w:pPr>
      <w:r>
        <w:t>No participant case contained evidence for recognising diagnosing and recovering from errors. The study therefore cannot establish whether error recovery works.</w:t>
      </w:r>
    </w:p>
    <w:p>
      <w:pPr>
        <w:pStyle w:val="ListBullet"/>
        <w:spacing w:after="40"/>
      </w:pPr>
      <w:r>
        <w:t>The Does not fit category appeared in 2 of 15 participant cases. Those extracts should remain available to the inductive analysis rather than being forced into a Nielsen heuristic.</w:t>
      </w:r>
    </w:p>
    <w:p>
      <w:pPr>
        <w:pStyle w:val="ListBullet"/>
        <w:spacing w:after="40"/>
      </w:pPr>
      <w:r>
        <w:t>Prototype omissions, facilitator prompts and incomplete disruption states limit claims about unaided success and real world performance.</w:t>
      </w:r>
    </w:p>
    <w:p>
      <w:pPr>
        <w:pStyle w:val="Heading1"/>
      </w:pPr>
      <w:r>
        <w:t>Priorities for the next design iteration</w:t>
      </w:r>
    </w:p>
    <w:tbl>
      <w:tblPr>
        <w:tblW w:type="auto" w:w="0"/>
        <w:jc w:val="center"/>
        <w:tblLayout w:type="fixed"/>
        <w:tblLook w:firstColumn="1" w:firstRow="1" w:lastColumn="0" w:lastRow="0" w:noHBand="0" w:noVBand="1" w:val="04A0"/>
      </w:tblPr>
      <w:tblGrid>
        <w:gridCol w:w="5083"/>
        <w:gridCol w:w="5083"/>
      </w:tblGrid>
      <w:tr>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color w:val="FFFFFF"/>
                <w:sz w:val="16"/>
              </w:rPr>
              <w:t>Priority</w:t>
            </w:r>
          </w:p>
        </w:tc>
        <w:tc>
          <w:tcPr>
            <w:tcW w:type="dxa" w:w="828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color w:val="FFFFFF"/>
                <w:sz w:val="16"/>
              </w:rPr>
              <w:t>Refinement</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P1</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Personal journey impact summary</w:t>
            </w:r>
          </w:p>
        </w:tc>
      </w:tr>
      <w:tr>
        <w:tc>
          <w:tcPr>
            <w:tcW w:type="dxa" w:w="144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P1</w:t>
            </w:r>
          </w:p>
        </w:tc>
        <w:tc>
          <w:tcPr>
            <w:tcW w:type="dxa" w:w="828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Reliable and current disruption data</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P1</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Comparable alternatives with an explicit recommendation reason</w:t>
            </w:r>
          </w:p>
        </w:tc>
      </w:tr>
      <w:tr>
        <w:tc>
          <w:tcPr>
            <w:tcW w:type="dxa" w:w="144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P2</w:t>
            </w:r>
          </w:p>
        </w:tc>
        <w:tc>
          <w:tcPr>
            <w:tcW w:type="dxa" w:w="828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Progressive disclosure of detailed route information</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P2</w:t>
            </w:r>
          </w:p>
        </w:tc>
        <w:tc>
          <w:tcPr>
            <w:tcW w:type="dxa" w:w="82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Preference controls and a visible current route</w:t>
            </w:r>
          </w:p>
        </w:tc>
      </w:tr>
      <w:tr>
        <w:tc>
          <w:tcPr>
            <w:tcW w:type="dxa" w:w="144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
              <w:rPr>
                <w:rFonts w:ascii="Aptos" w:hAnsi="Aptos"/>
                <w:b w:val="0"/>
                <w:color w:val="000000"/>
                <w:sz w:val="16"/>
              </w:rPr>
              <w:t>P2</w:t>
            </w:r>
          </w:p>
        </w:tc>
        <w:tc>
          <w:tcPr>
            <w:tcW w:type="dxa" w:w="8280"/>
            <w:shd w:fill="EAF2F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jc w:val="center"/>
            </w:pPr>
            <w:r/>
            <w:r>
              <w:rPr>
                <w:rFonts w:ascii="Aptos" w:hAnsi="Aptos"/>
                <w:b w:val="0"/>
                <w:color w:val="000000"/>
                <w:sz w:val="16"/>
              </w:rPr>
              <w:t>Back undo and warnings for high risk switches</w:t>
            </w:r>
          </w:p>
        </w:tc>
      </w:tr>
    </w:tbl>
    <w:p>
      <w:pPr>
        <w:pStyle w:val="Heading1"/>
      </w:pPr>
      <w:r>
        <w:t>Report ready summary</w:t>
      </w:r>
    </w:p>
    <w:p>
      <w:r>
        <w:t>The deductive usability analysis suggests that the prototype should operate as a focused layer within journey planning. Across P01 to P15, the most consistent evidence concerned current system status and the connection between service information and the traveller's real journey. Participants also needed a concise and transparent comparison of alternatives that reduced mental calculation while preserving choice. The next design should prioritise a current personal impact summary, realistic alternative routes and a clear explanation of recommendation order. The evidence cannot establish the adequacy of error recovery because no participant case contributed to that heuristic.</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DECO6500  Deductive usability findings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