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DECO6500 – Nielsen Themes by Committed</w:t>
        <w:br/>
        <w:t>Evaluation Question</w:t>
      </w:r>
    </w:p>
    <w:p>
      <w:pPr>
        <w:jc w:val="center"/>
      </w:pPr>
      <w:r>
        <w:rPr>
          <w:color w:val="2C6199"/>
          <w:sz w:val="20"/>
        </w:rPr>
        <w:t>────────────────────────────────────────────────────────────────</w:t>
      </w:r>
    </w:p>
    <w:p>
      <w:pPr>
        <w:jc w:val="center"/>
      </w:pPr>
      <w:r>
        <w:rPr>
          <w:sz w:val="22"/>
        </w:rPr>
        <w:t>Deductive Usability Analysis | P01–P15</w:t>
        <w:br/>
        <w:t>Prepared by: Houshi Ye</w:t>
      </w:r>
    </w:p>
    <w:p/>
    <w:p>
      <w:pPr>
        <w:pStyle w:val="Heading1"/>
      </w:pPr>
      <w:r>
        <w:t>How to Read This Table</w:t>
      </w:r>
    </w:p>
    <w:p>
      <w:r>
        <w:t>Each theme is written as an evidence-bounded claim rather than a topic heading. Themes were developed by regrouping Nielsen-coded extracts according to what they say in answer to each committed evaluation question. Each theme includes a short definition, contributing Nielsen codes, participants whose evidence clearly supports the claim, and a named counter-example or boundary case. Participant counts are participant-presence counts, not NVivo reference counts; one participant may support more than one theme. This document is the deductive qualitative contribution only. Question 1.2 still requires the Technical Check to establish technical correctness, and Question 2.2 still requires TAM PU/PEOU results for the final usefulness/ease-of-use claim.</w:t>
      </w:r>
    </w:p>
    <w:p>
      <w:r>
        <w:rPr>
          <w:b/>
        </w:rPr>
        <w:t xml:space="preserve">Source-to-theme rule: </w:t>
      </w:r>
      <w:r>
        <w:t>codes were not treated as themes. Extracts were searched, grouped, reviewed for fit, checked for counter-examples, and then defined as claim sentences that could in principle be wrong.</w:t>
      </w:r>
    </w:p>
    <w:p/>
    <w:p>
      <w:pPr>
        <w:pStyle w:val="Heading1"/>
      </w:pPr>
      <w:r>
        <w:t>1.1 Interaction &amp; Interface</w:t>
      </w:r>
    </w:p>
    <w:p>
      <w:pPr>
        <w:spacing w:after="120"/>
      </w:pPr>
      <w:r>
        <w:t>Can a first-time participant complete the disruption-information and option-selection flow without direct assistance?</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2088"/>
            <w:vAlign w:val="top"/>
            <w:tcMar>
              <w:top w:w="55" w:type="dxa"/>
              <w:start w:w="60" w:type="dxa"/>
              <w:bottom w:w="55" w:type="dxa"/>
              <w:end w:w="60" w:type="dxa"/>
            </w:tcMar>
            <w:shd w:fill="EAF2F8"/>
          </w:tcPr>
          <w:p>
            <w:r>
              <w:rPr>
                <w:b/>
                <w:sz w:val="16"/>
              </w:rPr>
              <w:t>Theme as a Claim</w:t>
            </w:r>
          </w:p>
        </w:tc>
        <w:tc>
          <w:tcPr>
            <w:tcW w:type="dxa" w:w="2131"/>
            <w:vAlign w:val="top"/>
            <w:tcMar>
              <w:top w:w="55" w:type="dxa"/>
              <w:start w:w="60" w:type="dxa"/>
              <w:bottom w:w="55" w:type="dxa"/>
              <w:end w:w="60" w:type="dxa"/>
            </w:tcMar>
            <w:shd w:fill="EAF2F8"/>
          </w:tcPr>
          <w:p>
            <w:r>
              <w:rPr>
                <w:b/>
                <w:sz w:val="16"/>
              </w:rPr>
              <w:t>Short Definition</w:t>
            </w:r>
          </w:p>
        </w:tc>
        <w:tc>
          <w:tcPr>
            <w:tcW w:type="dxa" w:w="1944"/>
            <w:vAlign w:val="top"/>
            <w:tcMar>
              <w:top w:w="55" w:type="dxa"/>
              <w:start w:w="60" w:type="dxa"/>
              <w:bottom w:w="55" w:type="dxa"/>
              <w:end w:w="60" w:type="dxa"/>
            </w:tcMar>
            <w:shd w:fill="EAF2F8"/>
          </w:tcPr>
          <w:p>
            <w:r>
              <w:rPr>
                <w:b/>
                <w:sz w:val="16"/>
              </w:rPr>
              <w:t>Nielsen Codes</w:t>
            </w:r>
          </w:p>
        </w:tc>
        <w:tc>
          <w:tcPr>
            <w:tcW w:type="dxa" w:w="1901"/>
            <w:vAlign w:val="top"/>
            <w:tcMar>
              <w:top w:w="55" w:type="dxa"/>
              <w:start w:w="60" w:type="dxa"/>
              <w:bottom w:w="55" w:type="dxa"/>
              <w:end w:w="60" w:type="dxa"/>
            </w:tcMar>
            <w:shd w:fill="EAF2F8"/>
          </w:tcPr>
          <w:p>
            <w:r>
              <w:rPr>
                <w:b/>
                <w:sz w:val="16"/>
              </w:rPr>
              <w:t>Participants Counted</w:t>
            </w:r>
          </w:p>
        </w:tc>
        <w:tc>
          <w:tcPr>
            <w:tcW w:type="dxa" w:w="2088"/>
            <w:vAlign w:val="top"/>
            <w:tcMar>
              <w:top w:w="55" w:type="dxa"/>
              <w:start w:w="60" w:type="dxa"/>
              <w:bottom w:w="55" w:type="dxa"/>
              <w:end w:w="60" w:type="dxa"/>
            </w:tcMar>
            <w:shd w:fill="EAF2F8"/>
          </w:tcPr>
          <w:p>
            <w:r>
              <w:rPr>
                <w:b/>
                <w:sz w:val="16"/>
              </w:rPr>
              <w:t>Counter-example / Boundary Case</w:t>
            </w:r>
          </w:p>
        </w:tc>
        <w:tc>
          <w:tcPr>
            <w:tcW w:type="dxa" w:w="2088"/>
            <w:vAlign w:val="top"/>
            <w:tcMar>
              <w:top w:w="55" w:type="dxa"/>
              <w:start w:w="60" w:type="dxa"/>
              <w:bottom w:w="55" w:type="dxa"/>
              <w:end w:w="60" w:type="dxa"/>
            </w:tcMar>
            <w:shd w:fill="EAF2F8"/>
          </w:tcPr>
          <w:p>
            <w:r>
              <w:rPr>
                <w:b/>
                <w:sz w:val="16"/>
              </w:rPr>
              <w:t>Bound</w:t>
            </w:r>
          </w:p>
        </w:tc>
      </w:tr>
      <w:tr>
        <w:tc>
          <w:tcPr>
            <w:tcW w:type="dxa" w:w="2088"/>
            <w:vAlign w:val="top"/>
            <w:tcMar>
              <w:top w:w="55" w:type="dxa"/>
              <w:start w:w="60" w:type="dxa"/>
              <w:bottom w:w="55" w:type="dxa"/>
              <w:end w:w="60" w:type="dxa"/>
            </w:tcMar>
          </w:tcPr>
          <w:p>
            <w:pPr>
              <w:spacing w:after="0"/>
            </w:pPr>
            <w:r>
              <w:rPr>
                <w:sz w:val="16"/>
              </w:rPr>
              <w:t>Dense or mismatched early-stage controls can interrupt the first-time decision flow.</w:t>
            </w:r>
          </w:p>
        </w:tc>
        <w:tc>
          <w:tcPr>
            <w:tcW w:type="dxa" w:w="2131"/>
            <w:vAlign w:val="top"/>
            <w:tcMar>
              <w:top w:w="55" w:type="dxa"/>
              <w:start w:w="60" w:type="dxa"/>
              <w:bottom w:w="55" w:type="dxa"/>
              <w:end w:w="60" w:type="dxa"/>
            </w:tcMar>
          </w:tcPr>
          <w:p>
            <w:pPr>
              <w:spacing w:after="0"/>
            </w:pPr>
            <w:r>
              <w:rPr>
                <w:sz w:val="16"/>
              </w:rPr>
              <w:t>Hesitation clustered around the initial route-selection and comparison stages when information was dense, controls appeared before they were useful, routes were missing, or a comparison action had nothing meaningful to compare.</w:t>
            </w:r>
          </w:p>
        </w:tc>
        <w:tc>
          <w:tcPr>
            <w:tcW w:type="dxa" w:w="1944"/>
            <w:vAlign w:val="top"/>
            <w:tcMar>
              <w:top w:w="55" w:type="dxa"/>
              <w:start w:w="60" w:type="dxa"/>
              <w:bottom w:w="55" w:type="dxa"/>
              <w:end w:w="60" w:type="dxa"/>
            </w:tcMar>
          </w:tcPr>
          <w:p>
            <w:pPr>
              <w:spacing w:after="0"/>
            </w:pPr>
            <w:r>
              <w:rPr>
                <w:sz w:val="16"/>
              </w:rPr>
              <w:t>Aesthetic and minimalist design; Consistency and standards; Match between system and the real world; Help and documentation</w:t>
            </w:r>
          </w:p>
        </w:tc>
        <w:tc>
          <w:tcPr>
            <w:tcW w:type="dxa" w:w="1901"/>
            <w:vAlign w:val="top"/>
            <w:tcMar>
              <w:top w:w="55" w:type="dxa"/>
              <w:start w:w="60" w:type="dxa"/>
              <w:bottom w:w="55" w:type="dxa"/>
              <w:end w:w="60" w:type="dxa"/>
            </w:tcMar>
          </w:tcPr>
          <w:p>
            <w:pPr>
              <w:spacing w:after="0"/>
            </w:pPr>
            <w:r>
              <w:rPr>
                <w:sz w:val="16"/>
              </w:rPr>
              <w:t>6/15 — P01, P02, P04, P05, P08, P09</w:t>
            </w:r>
          </w:p>
        </w:tc>
        <w:tc>
          <w:tcPr>
            <w:tcW w:type="dxa" w:w="2088"/>
            <w:vAlign w:val="top"/>
            <w:tcMar>
              <w:top w:w="55" w:type="dxa"/>
              <w:start w:w="60" w:type="dxa"/>
              <w:bottom w:w="55" w:type="dxa"/>
              <w:end w:w="60" w:type="dxa"/>
            </w:tcMar>
          </w:tcPr>
          <w:p>
            <w:pPr>
              <w:spacing w:after="0"/>
            </w:pPr>
            <w:r>
              <w:rPr>
                <w:sz w:val="16"/>
              </w:rPr>
              <w:t>P03 described the core interface as understandable and could use arrival time, transfers, recommendation reasons and the map to interpret alternatives.</w:t>
            </w:r>
          </w:p>
        </w:tc>
        <w:tc>
          <w:tcPr>
            <w:tcW w:type="dxa" w:w="2088"/>
            <w:vAlign w:val="top"/>
            <w:tcMar>
              <w:top w:w="55" w:type="dxa"/>
              <w:start w:w="60" w:type="dxa"/>
              <w:bottom w:w="55" w:type="dxa"/>
              <w:end w:w="60" w:type="dxa"/>
            </w:tcMar>
          </w:tcPr>
          <w:p>
            <w:pPr>
              <w:spacing w:after="0"/>
            </w:pPr>
            <w:r>
              <w:rPr>
                <w:sz w:val="16"/>
              </w:rPr>
              <w:t>This identifies interaction barriers. It does not by itself establish formal completion rates or how much moderator assistance was required.</w:t>
            </w:r>
          </w:p>
        </w:tc>
      </w:tr>
      <w:tr>
        <w:tc>
          <w:tcPr>
            <w:tcW w:type="dxa" w:w="2088"/>
            <w:vAlign w:val="top"/>
            <w:tcMar>
              <w:top w:w="55" w:type="dxa"/>
              <w:start w:w="60" w:type="dxa"/>
              <w:bottom w:w="55" w:type="dxa"/>
              <w:end w:w="60" w:type="dxa"/>
            </w:tcMar>
          </w:tcPr>
          <w:p>
            <w:pPr>
              <w:spacing w:after="0"/>
            </w:pPr>
            <w:r>
              <w:rPr>
                <w:sz w:val="16"/>
              </w:rPr>
              <w:t>Clear status became actionable when it was translated into consequences for the passenger’s own journey.</w:t>
            </w:r>
          </w:p>
        </w:tc>
        <w:tc>
          <w:tcPr>
            <w:tcW w:type="dxa" w:w="2131"/>
            <w:vAlign w:val="top"/>
            <w:tcMar>
              <w:top w:w="55" w:type="dxa"/>
              <w:start w:w="60" w:type="dxa"/>
              <w:bottom w:w="55" w:type="dxa"/>
              <w:end w:w="60" w:type="dxa"/>
            </w:tcMar>
          </w:tcPr>
          <w:p>
            <w:pPr>
              <w:spacing w:after="0"/>
            </w:pPr>
            <w:r>
              <w:rPr>
                <w:sz w:val="16"/>
              </w:rPr>
              <w:t>Participants could reason about a disruption more readily when the interface connected status to revised arrival time, missed connections, affected journey legs, or whether a change of plan was actually required.</w:t>
            </w:r>
          </w:p>
        </w:tc>
        <w:tc>
          <w:tcPr>
            <w:tcW w:type="dxa" w:w="1944"/>
            <w:vAlign w:val="top"/>
            <w:tcMar>
              <w:top w:w="55" w:type="dxa"/>
              <w:start w:w="60" w:type="dxa"/>
              <w:bottom w:w="55" w:type="dxa"/>
              <w:end w:w="60" w:type="dxa"/>
            </w:tcMar>
          </w:tcPr>
          <w:p>
            <w:pPr>
              <w:spacing w:after="0"/>
            </w:pPr>
            <w:r>
              <w:rPr>
                <w:sz w:val="16"/>
              </w:rPr>
              <w:t>Visibility of system status; Match between system and the real world; Error prevention</w:t>
            </w:r>
          </w:p>
        </w:tc>
        <w:tc>
          <w:tcPr>
            <w:tcW w:type="dxa" w:w="1901"/>
            <w:vAlign w:val="top"/>
            <w:tcMar>
              <w:top w:w="55" w:type="dxa"/>
              <w:start w:w="60" w:type="dxa"/>
              <w:bottom w:w="55" w:type="dxa"/>
              <w:end w:w="60" w:type="dxa"/>
            </w:tcMar>
          </w:tcPr>
          <w:p>
            <w:pPr>
              <w:spacing w:after="0"/>
            </w:pPr>
            <w:r>
              <w:rPr>
                <w:sz w:val="16"/>
              </w:rPr>
              <w:t>8/15 — P03, P06, P07, P08, P09, P10, P13, P14</w:t>
            </w:r>
          </w:p>
        </w:tc>
        <w:tc>
          <w:tcPr>
            <w:tcW w:type="dxa" w:w="2088"/>
            <w:vAlign w:val="top"/>
            <w:tcMar>
              <w:top w:w="55" w:type="dxa"/>
              <w:start w:w="60" w:type="dxa"/>
              <w:bottom w:w="55" w:type="dxa"/>
              <w:end w:w="60" w:type="dxa"/>
            </w:tcMar>
          </w:tcPr>
          <w:p>
            <w:pPr>
              <w:spacing w:after="0"/>
            </w:pPr>
            <w:r>
              <w:rPr>
                <w:sz w:val="16"/>
              </w:rPr>
              <w:t>P04 and P05 could not meaningfully evaluate this interaction because their tested scenarios did not present the disruption information or routes they expected.</w:t>
            </w:r>
          </w:p>
        </w:tc>
        <w:tc>
          <w:tcPr>
            <w:tcW w:type="dxa" w:w="2088"/>
            <w:vAlign w:val="top"/>
            <w:tcMar>
              <w:top w:w="55" w:type="dxa"/>
              <w:start w:w="60" w:type="dxa"/>
              <w:bottom w:w="55" w:type="dxa"/>
              <w:end w:w="60" w:type="dxa"/>
            </w:tcMar>
          </w:tcPr>
          <w:p>
            <w:pPr>
              <w:spacing w:after="0"/>
            </w:pPr>
            <w:r>
              <w:rPr>
                <w:sz w:val="16"/>
              </w:rPr>
              <w:t>This supports comprehension of journey impact, not a claim that every participant independently completed the full task.</w:t>
            </w:r>
          </w:p>
        </w:tc>
      </w:tr>
      <w:tr>
        <w:tc>
          <w:tcPr>
            <w:tcW w:type="dxa" w:w="2088"/>
            <w:vAlign w:val="top"/>
            <w:tcMar>
              <w:top w:w="55" w:type="dxa"/>
              <w:start w:w="60" w:type="dxa"/>
              <w:bottom w:w="55" w:type="dxa"/>
              <w:end w:w="60" w:type="dxa"/>
            </w:tcMar>
          </w:tcPr>
          <w:p>
            <w:pPr>
              <w:spacing w:after="0"/>
            </w:pPr>
            <w:r>
              <w:rPr>
                <w:sz w:val="16"/>
              </w:rPr>
              <w:t>Visible comparison cues reduce memory and calculation during option selection.</w:t>
            </w:r>
          </w:p>
        </w:tc>
        <w:tc>
          <w:tcPr>
            <w:tcW w:type="dxa" w:w="2131"/>
            <w:vAlign w:val="top"/>
            <w:tcMar>
              <w:top w:w="55" w:type="dxa"/>
              <w:start w:w="60" w:type="dxa"/>
              <w:bottom w:w="55" w:type="dxa"/>
              <w:end w:w="60" w:type="dxa"/>
            </w:tcMar>
          </w:tcPr>
          <w:p>
            <w:pPr>
              <w:spacing w:after="0"/>
            </w:pPr>
            <w:r>
              <w:rPr>
                <w:sz w:val="16"/>
              </w:rPr>
              <w:t>ETA, transfer count, maps, recommendation reasons and side-by-side alternatives gave participants information they could recognise directly instead of reconstructing or calculating it themselves.</w:t>
            </w:r>
          </w:p>
        </w:tc>
        <w:tc>
          <w:tcPr>
            <w:tcW w:type="dxa" w:w="1944"/>
            <w:vAlign w:val="top"/>
            <w:tcMar>
              <w:top w:w="55" w:type="dxa"/>
              <w:start w:w="60" w:type="dxa"/>
              <w:bottom w:w="55" w:type="dxa"/>
              <w:end w:w="60" w:type="dxa"/>
            </w:tcMar>
          </w:tcPr>
          <w:p>
            <w:pPr>
              <w:spacing w:after="0"/>
            </w:pPr>
            <w:r>
              <w:rPr>
                <w:sz w:val="16"/>
              </w:rPr>
              <w:t>Recognition rather than recall; Flexibility and efficiency of use; Help and documentation</w:t>
            </w:r>
          </w:p>
        </w:tc>
        <w:tc>
          <w:tcPr>
            <w:tcW w:type="dxa" w:w="1901"/>
            <w:vAlign w:val="top"/>
            <w:tcMar>
              <w:top w:w="55" w:type="dxa"/>
              <w:start w:w="60" w:type="dxa"/>
              <w:bottom w:w="55" w:type="dxa"/>
              <w:end w:w="60" w:type="dxa"/>
            </w:tcMar>
          </w:tcPr>
          <w:p>
            <w:pPr>
              <w:spacing w:after="0"/>
            </w:pPr>
            <w:r>
              <w:rPr>
                <w:sz w:val="16"/>
              </w:rPr>
              <w:t>8/15 — P01, P02, P03, P05, P06, P09, P10, P15</w:t>
            </w:r>
          </w:p>
        </w:tc>
        <w:tc>
          <w:tcPr>
            <w:tcW w:type="dxa" w:w="2088"/>
            <w:vAlign w:val="top"/>
            <w:tcMar>
              <w:top w:w="55" w:type="dxa"/>
              <w:start w:w="60" w:type="dxa"/>
              <w:bottom w:w="55" w:type="dxa"/>
              <w:end w:w="60" w:type="dxa"/>
            </w:tcMar>
          </w:tcPr>
          <w:p>
            <w:pPr>
              <w:spacing w:after="0"/>
            </w:pPr>
            <w:r>
              <w:rPr>
                <w:sz w:val="16"/>
              </w:rPr>
              <w:t>P08 found the comparison stage repetitive and text-heavy, showing that comparison only helps when the information is concise and genuinely distinct.</w:t>
            </w:r>
          </w:p>
        </w:tc>
        <w:tc>
          <w:tcPr>
            <w:tcW w:type="dxa" w:w="2088"/>
            <w:vAlign w:val="top"/>
            <w:tcMar>
              <w:top w:w="55" w:type="dxa"/>
              <w:start w:w="60" w:type="dxa"/>
              <w:bottom w:w="55" w:type="dxa"/>
              <w:end w:w="60" w:type="dxa"/>
            </w:tcMar>
          </w:tcPr>
          <w:p>
            <w:pPr>
              <w:spacing w:after="0"/>
            </w:pPr>
            <w:r>
              <w:rPr>
                <w:sz w:val="16"/>
              </w:rPr>
              <w:t>The theme supports reduced reasoning burden during choice; it does not establish which comparison layout is objectively fastest.</w:t>
            </w:r>
          </w:p>
        </w:tc>
      </w:tr>
      <w:tr>
        <w:tc>
          <w:tcPr>
            <w:tcW w:type="dxa" w:w="2088"/>
            <w:vAlign w:val="top"/>
            <w:tcMar>
              <w:top w:w="55" w:type="dxa"/>
              <w:start w:w="60" w:type="dxa"/>
              <w:bottom w:w="55" w:type="dxa"/>
              <w:end w:w="60" w:type="dxa"/>
            </w:tcMar>
          </w:tcPr>
          <w:p>
            <w:pPr>
              <w:spacing w:after="0"/>
            </w:pPr>
            <w:r>
              <w:rPr>
                <w:sz w:val="16"/>
              </w:rPr>
              <w:t>Preference controls make re-ranking understandable while preserving user choice.</w:t>
            </w:r>
          </w:p>
        </w:tc>
        <w:tc>
          <w:tcPr>
            <w:tcW w:type="dxa" w:w="2131"/>
            <w:vAlign w:val="top"/>
            <w:tcMar>
              <w:top w:w="55" w:type="dxa"/>
              <w:start w:w="60" w:type="dxa"/>
              <w:bottom w:w="55" w:type="dxa"/>
              <w:end w:w="60" w:type="dxa"/>
            </w:tcMar>
          </w:tcPr>
          <w:p>
            <w:pPr>
              <w:spacing w:after="0"/>
            </w:pPr>
            <w:r>
              <w:rPr>
                <w:sz w:val="16"/>
              </w:rPr>
              <w:t>When participants could state a priority and see the recommendation order change, the ranking was easier to interpret and remained something they could accept, compare or reject.</w:t>
            </w:r>
          </w:p>
        </w:tc>
        <w:tc>
          <w:tcPr>
            <w:tcW w:type="dxa" w:w="1944"/>
            <w:vAlign w:val="top"/>
            <w:tcMar>
              <w:top w:w="55" w:type="dxa"/>
              <w:start w:w="60" w:type="dxa"/>
              <w:bottom w:w="55" w:type="dxa"/>
              <w:end w:w="60" w:type="dxa"/>
            </w:tcMar>
          </w:tcPr>
          <w:p>
            <w:pPr>
              <w:spacing w:after="0"/>
            </w:pPr>
            <w:r>
              <w:rPr>
                <w:sz w:val="16"/>
              </w:rPr>
              <w:t>User control and freedom; Flexibility and efficiency of use; Recognition rather than recall; Consistency and standards</w:t>
            </w:r>
          </w:p>
        </w:tc>
        <w:tc>
          <w:tcPr>
            <w:tcW w:type="dxa" w:w="1901"/>
            <w:vAlign w:val="top"/>
            <w:tcMar>
              <w:top w:w="55" w:type="dxa"/>
              <w:start w:w="60" w:type="dxa"/>
              <w:bottom w:w="55" w:type="dxa"/>
              <w:end w:w="60" w:type="dxa"/>
            </w:tcMar>
          </w:tcPr>
          <w:p>
            <w:pPr>
              <w:spacing w:after="0"/>
            </w:pPr>
            <w:r>
              <w:rPr>
                <w:sz w:val="16"/>
              </w:rPr>
              <w:t>5/15 — P01, P02, P03, P08, P15</w:t>
            </w:r>
          </w:p>
        </w:tc>
        <w:tc>
          <w:tcPr>
            <w:tcW w:type="dxa" w:w="2088"/>
            <w:vAlign w:val="top"/>
            <w:tcMar>
              <w:top w:w="55" w:type="dxa"/>
              <w:start w:w="60" w:type="dxa"/>
              <w:bottom w:w="55" w:type="dxa"/>
              <w:end w:w="60" w:type="dxa"/>
            </w:tcMar>
          </w:tcPr>
          <w:p>
            <w:pPr>
              <w:spacing w:after="0"/>
            </w:pPr>
            <w:r>
              <w:rPr>
                <w:sz w:val="16"/>
              </w:rPr>
              <w:t>P04 and P05 encountered missing or non-comparable routes, so preference and ranking controls could not compensate for gaps in the available option set.</w:t>
            </w:r>
          </w:p>
        </w:tc>
        <w:tc>
          <w:tcPr>
            <w:tcW w:type="dxa" w:w="2088"/>
            <w:vAlign w:val="top"/>
            <w:tcMar>
              <w:top w:w="55" w:type="dxa"/>
              <w:start w:w="60" w:type="dxa"/>
              <w:bottom w:w="55" w:type="dxa"/>
              <w:end w:w="60" w:type="dxa"/>
            </w:tcMar>
          </w:tcPr>
          <w:p>
            <w:pPr>
              <w:spacing w:after="0"/>
            </w:pPr>
            <w:r>
              <w:rPr>
                <w:sz w:val="16"/>
              </w:rPr>
              <w:t>This supports perceived control over recommendation order, not evidence that the ranked option was objectively optimal.</w:t>
            </w:r>
          </w:p>
        </w:tc>
      </w:tr>
    </w:tbl>
    <w:p>
      <w:pPr>
        <w:pStyle w:val="Heading2"/>
      </w:pPr>
      <w:r>
        <w:t>Representative evidence trail</w:t>
      </w:r>
    </w:p>
    <w:p>
      <w:pPr>
        <w:pStyle w:val="ListBullet"/>
        <w:spacing w:after="40"/>
      </w:pPr>
      <w:r>
        <w:rPr>
          <w:b/>
        </w:rPr>
        <w:t xml:space="preserve">Theme 1 · P02: </w:t>
      </w:r>
      <w:r>
        <w:t>“The first route-selection page was the most confusing because several pieces of information appeared at once.”</w:t>
      </w:r>
    </w:p>
    <w:p>
      <w:pPr>
        <w:pStyle w:val="ListBullet"/>
        <w:spacing w:after="40"/>
      </w:pPr>
      <w:r>
        <w:rPr>
          <w:b/>
        </w:rPr>
        <w:t xml:space="preserve">Theme 1 · P05: </w:t>
      </w:r>
      <w:r>
        <w:t>“The most confusing part was the ‘Compare’ button. It shouldn’t be there if there’s nothing to compare.”</w:t>
      </w:r>
    </w:p>
    <w:p>
      <w:pPr>
        <w:pStyle w:val="ListBullet"/>
        <w:spacing w:after="40"/>
      </w:pPr>
      <w:r>
        <w:rPr>
          <w:b/>
        </w:rPr>
        <w:t xml:space="preserve">Theme 2 · P10: </w:t>
      </w:r>
      <w:r>
        <w:t>“The estimated delay … and what the consequences of that estimated delay are.”</w:t>
      </w:r>
    </w:p>
    <w:p>
      <w:pPr>
        <w:pStyle w:val="ListBullet"/>
        <w:spacing w:after="40"/>
      </w:pPr>
      <w:r>
        <w:rPr>
          <w:b/>
        </w:rPr>
        <w:t xml:space="preserve">Theme 2 · P09: </w:t>
      </w:r>
      <w:r>
        <w:t>“Tell me the impact on me directly. For example, you will be 15 minutes late or you will miss your bus at station B.”</w:t>
      </w:r>
    </w:p>
    <w:p>
      <w:pPr>
        <w:pStyle w:val="ListBullet"/>
        <w:spacing w:after="40"/>
      </w:pPr>
      <w:r>
        <w:rPr>
          <w:b/>
        </w:rPr>
        <w:t xml:space="preserve">Theme 3 · P01: </w:t>
      </w:r>
      <w:r>
        <w:t>“I mainly use the recommendation reason, ETA, and transfers to decide.”</w:t>
      </w:r>
    </w:p>
    <w:p>
      <w:pPr>
        <w:pStyle w:val="ListBullet"/>
        <w:spacing w:after="40"/>
      </w:pPr>
      <w:r>
        <w:rPr>
          <w:b/>
        </w:rPr>
        <w:t xml:space="preserve">Theme 3 · P09: </w:t>
      </w:r>
      <w:r>
        <w:t>“I don’t have to calculate transfer time in my head.”</w:t>
      </w:r>
    </w:p>
    <w:p>
      <w:pPr>
        <w:pStyle w:val="ListBullet"/>
        <w:spacing w:after="40"/>
      </w:pPr>
      <w:r>
        <w:rPr>
          <w:b/>
        </w:rPr>
        <w:t xml:space="preserve">Theme 4 · P02: </w:t>
      </w:r>
      <w:r>
        <w:t>“The order changes after I choose that. That’s good. I understand that the best route depends on what I care about.”</w:t>
      </w:r>
    </w:p>
    <w:p/>
    <w:p>
      <w:pPr>
        <w:pStyle w:val="Heading1"/>
      </w:pPr>
      <w:r>
        <w:t>1.2 Prototype &amp; Technical</w:t>
      </w:r>
    </w:p>
    <w:p>
      <w:pPr>
        <w:spacing w:after="120"/>
      </w:pPr>
      <w:r>
        <w:t>Can the prototype correctly update and present disruption status, journey impacts and alternative options when simulated travel conditions change?</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2088"/>
            <w:vAlign w:val="top"/>
            <w:tcMar>
              <w:top w:w="55" w:type="dxa"/>
              <w:start w:w="60" w:type="dxa"/>
              <w:bottom w:w="55" w:type="dxa"/>
              <w:end w:w="60" w:type="dxa"/>
            </w:tcMar>
            <w:shd w:fill="EAF2F8"/>
          </w:tcPr>
          <w:p>
            <w:r>
              <w:rPr>
                <w:b/>
                <w:sz w:val="16"/>
              </w:rPr>
              <w:t>Theme as a Claim</w:t>
            </w:r>
          </w:p>
        </w:tc>
        <w:tc>
          <w:tcPr>
            <w:tcW w:type="dxa" w:w="2131"/>
            <w:vAlign w:val="top"/>
            <w:tcMar>
              <w:top w:w="55" w:type="dxa"/>
              <w:start w:w="60" w:type="dxa"/>
              <w:bottom w:w="55" w:type="dxa"/>
              <w:end w:w="60" w:type="dxa"/>
            </w:tcMar>
            <w:shd w:fill="EAF2F8"/>
          </w:tcPr>
          <w:p>
            <w:r>
              <w:rPr>
                <w:b/>
                <w:sz w:val="16"/>
              </w:rPr>
              <w:t>Short Definition</w:t>
            </w:r>
          </w:p>
        </w:tc>
        <w:tc>
          <w:tcPr>
            <w:tcW w:type="dxa" w:w="1944"/>
            <w:vAlign w:val="top"/>
            <w:tcMar>
              <w:top w:w="55" w:type="dxa"/>
              <w:start w:w="60" w:type="dxa"/>
              <w:bottom w:w="55" w:type="dxa"/>
              <w:end w:w="60" w:type="dxa"/>
            </w:tcMar>
            <w:shd w:fill="EAF2F8"/>
          </w:tcPr>
          <w:p>
            <w:r>
              <w:rPr>
                <w:b/>
                <w:sz w:val="16"/>
              </w:rPr>
              <w:t>Nielsen Codes</w:t>
            </w:r>
          </w:p>
        </w:tc>
        <w:tc>
          <w:tcPr>
            <w:tcW w:type="dxa" w:w="1901"/>
            <w:vAlign w:val="top"/>
            <w:tcMar>
              <w:top w:w="55" w:type="dxa"/>
              <w:start w:w="60" w:type="dxa"/>
              <w:bottom w:w="55" w:type="dxa"/>
              <w:end w:w="60" w:type="dxa"/>
            </w:tcMar>
            <w:shd w:fill="EAF2F8"/>
          </w:tcPr>
          <w:p>
            <w:r>
              <w:rPr>
                <w:b/>
                <w:sz w:val="16"/>
              </w:rPr>
              <w:t>Participants Counted</w:t>
            </w:r>
          </w:p>
        </w:tc>
        <w:tc>
          <w:tcPr>
            <w:tcW w:type="dxa" w:w="2088"/>
            <w:vAlign w:val="top"/>
            <w:tcMar>
              <w:top w:w="55" w:type="dxa"/>
              <w:start w:w="60" w:type="dxa"/>
              <w:bottom w:w="55" w:type="dxa"/>
              <w:end w:w="60" w:type="dxa"/>
            </w:tcMar>
            <w:shd w:fill="EAF2F8"/>
          </w:tcPr>
          <w:p>
            <w:r>
              <w:rPr>
                <w:b/>
                <w:sz w:val="16"/>
              </w:rPr>
              <w:t>Counter-example / Boundary Case</w:t>
            </w:r>
          </w:p>
        </w:tc>
        <w:tc>
          <w:tcPr>
            <w:tcW w:type="dxa" w:w="2088"/>
            <w:vAlign w:val="top"/>
            <w:tcMar>
              <w:top w:w="55" w:type="dxa"/>
              <w:start w:w="60" w:type="dxa"/>
              <w:bottom w:w="55" w:type="dxa"/>
              <w:end w:w="60" w:type="dxa"/>
            </w:tcMar>
            <w:shd w:fill="EAF2F8"/>
          </w:tcPr>
          <w:p>
            <w:r>
              <w:rPr>
                <w:b/>
                <w:sz w:val="16"/>
              </w:rPr>
              <w:t>Bound</w:t>
            </w:r>
          </w:p>
        </w:tc>
      </w:tr>
      <w:tr>
        <w:tc>
          <w:tcPr>
            <w:tcW w:type="dxa" w:w="2088"/>
            <w:vAlign w:val="top"/>
            <w:tcMar>
              <w:top w:w="55" w:type="dxa"/>
              <w:start w:w="60" w:type="dxa"/>
              <w:bottom w:w="55" w:type="dxa"/>
              <w:end w:w="60" w:type="dxa"/>
            </w:tcMar>
          </w:tcPr>
          <w:p>
            <w:pPr>
              <w:spacing w:after="0"/>
            </w:pPr>
            <w:r>
              <w:rPr>
                <w:sz w:val="16"/>
              </w:rPr>
              <w:t>Participants expect currentness and reliability to be visible before they trust disruption updates.</w:t>
            </w:r>
          </w:p>
        </w:tc>
        <w:tc>
          <w:tcPr>
            <w:tcW w:type="dxa" w:w="2131"/>
            <w:vAlign w:val="top"/>
            <w:tcMar>
              <w:top w:w="55" w:type="dxa"/>
              <w:start w:w="60" w:type="dxa"/>
              <w:bottom w:w="55" w:type="dxa"/>
              <w:end w:w="60" w:type="dxa"/>
            </w:tcMar>
          </w:tcPr>
          <w:p>
            <w:pPr>
              <w:spacing w:after="0"/>
            </w:pPr>
            <w:r>
              <w:rPr>
                <w:sz w:val="16"/>
              </w:rPr>
              <w:t>Participants asked whether disruption and alternative-route information was fresh, accurate, or recently updated, and some reported reduced confidence when the prototype did not make this visible.</w:t>
            </w:r>
          </w:p>
        </w:tc>
        <w:tc>
          <w:tcPr>
            <w:tcW w:type="dxa" w:w="1944"/>
            <w:vAlign w:val="top"/>
            <w:tcMar>
              <w:top w:w="55" w:type="dxa"/>
              <w:start w:w="60" w:type="dxa"/>
              <w:bottom w:w="55" w:type="dxa"/>
              <w:end w:w="60" w:type="dxa"/>
            </w:tcMar>
          </w:tcPr>
          <w:p>
            <w:pPr>
              <w:spacing w:after="0"/>
            </w:pPr>
            <w:r>
              <w:rPr>
                <w:sz w:val="16"/>
              </w:rPr>
              <w:t>Visibility of system status; Match between system and the real world</w:t>
            </w:r>
          </w:p>
        </w:tc>
        <w:tc>
          <w:tcPr>
            <w:tcW w:type="dxa" w:w="1901"/>
            <w:vAlign w:val="top"/>
            <w:tcMar>
              <w:top w:w="55" w:type="dxa"/>
              <w:start w:w="60" w:type="dxa"/>
              <w:bottom w:w="55" w:type="dxa"/>
              <w:end w:w="60" w:type="dxa"/>
            </w:tcMar>
          </w:tcPr>
          <w:p>
            <w:pPr>
              <w:spacing w:after="0"/>
            </w:pPr>
            <w:r>
              <w:rPr>
                <w:sz w:val="16"/>
              </w:rPr>
              <w:t>7/15 — P01, P02, P03, P05, P12, P13, P14</w:t>
            </w:r>
          </w:p>
        </w:tc>
        <w:tc>
          <w:tcPr>
            <w:tcW w:type="dxa" w:w="2088"/>
            <w:vAlign w:val="top"/>
            <w:tcMar>
              <w:top w:w="55" w:type="dxa"/>
              <w:start w:w="60" w:type="dxa"/>
              <w:bottom w:w="55" w:type="dxa"/>
              <w:end w:w="60" w:type="dxa"/>
            </w:tcMar>
          </w:tcPr>
          <w:p>
            <w:pPr>
              <w:spacing w:after="0"/>
            </w:pPr>
            <w:r>
              <w:rPr>
                <w:sz w:val="16"/>
              </w:rPr>
              <w:t>P06 reported that the displayed “no significant disruption” message was clear, but that scenario did not test whether changing disruption data was technically correct.</w:t>
            </w:r>
          </w:p>
        </w:tc>
        <w:tc>
          <w:tcPr>
            <w:tcW w:type="dxa" w:w="2088"/>
            <w:vAlign w:val="top"/>
            <w:tcMar>
              <w:top w:w="55" w:type="dxa"/>
              <w:start w:w="60" w:type="dxa"/>
              <w:bottom w:w="55" w:type="dxa"/>
              <w:end w:w="60" w:type="dxa"/>
            </w:tcMar>
          </w:tcPr>
          <w:p>
            <w:pPr>
              <w:spacing w:after="0"/>
            </w:pPr>
            <w:r>
              <w:rPr>
                <w:sz w:val="16"/>
              </w:rPr>
              <w:t>This is perceived reliability evidence. It cannot establish technical freshness, correctness or update latency.</w:t>
            </w:r>
          </w:p>
        </w:tc>
      </w:tr>
      <w:tr>
        <w:tc>
          <w:tcPr>
            <w:tcW w:type="dxa" w:w="2088"/>
            <w:vAlign w:val="top"/>
            <w:tcMar>
              <w:top w:w="55" w:type="dxa"/>
              <w:start w:w="60" w:type="dxa"/>
              <w:bottom w:w="55" w:type="dxa"/>
              <w:end w:w="60" w:type="dxa"/>
            </w:tcMar>
          </w:tcPr>
          <w:p>
            <w:pPr>
              <w:spacing w:after="0"/>
            </w:pPr>
            <w:r>
              <w:rPr>
                <w:sz w:val="16"/>
              </w:rPr>
              <w:t>Users expect an update to propagate to downstream consequences and alternative-route risk.</w:t>
            </w:r>
          </w:p>
        </w:tc>
        <w:tc>
          <w:tcPr>
            <w:tcW w:type="dxa" w:w="2131"/>
            <w:vAlign w:val="top"/>
            <w:tcMar>
              <w:top w:w="55" w:type="dxa"/>
              <w:start w:w="60" w:type="dxa"/>
              <w:bottom w:w="55" w:type="dxa"/>
              <w:end w:w="60" w:type="dxa"/>
            </w:tcMar>
          </w:tcPr>
          <w:p>
            <w:pPr>
              <w:spacing w:after="0"/>
            </w:pPr>
            <w:r>
              <w:rPr>
                <w:sz w:val="16"/>
              </w:rPr>
              <w:t>A status change was not enough on its own: participants wanted updated arrival time, missed-connection risk, and an indication of whether the recommended alternative might also become delayed or disrupted.</w:t>
            </w:r>
          </w:p>
        </w:tc>
        <w:tc>
          <w:tcPr>
            <w:tcW w:type="dxa" w:w="1944"/>
            <w:vAlign w:val="top"/>
            <w:tcMar>
              <w:top w:w="55" w:type="dxa"/>
              <w:start w:w="60" w:type="dxa"/>
              <w:bottom w:w="55" w:type="dxa"/>
              <w:end w:w="60" w:type="dxa"/>
            </w:tcMar>
          </w:tcPr>
          <w:p>
            <w:pPr>
              <w:spacing w:after="0"/>
            </w:pPr>
            <w:r>
              <w:rPr>
                <w:sz w:val="16"/>
              </w:rPr>
              <w:t>Visibility of system status; Error prevention; Match between system and the real world</w:t>
            </w:r>
          </w:p>
        </w:tc>
        <w:tc>
          <w:tcPr>
            <w:tcW w:type="dxa" w:w="1901"/>
            <w:vAlign w:val="top"/>
            <w:tcMar>
              <w:top w:w="55" w:type="dxa"/>
              <w:start w:w="60" w:type="dxa"/>
              <w:bottom w:w="55" w:type="dxa"/>
              <w:end w:w="60" w:type="dxa"/>
            </w:tcMar>
          </w:tcPr>
          <w:p>
            <w:pPr>
              <w:spacing w:after="0"/>
            </w:pPr>
            <w:r>
              <w:rPr>
                <w:sz w:val="16"/>
              </w:rPr>
              <w:t>6/15 — P02, P03, P08, P10, P13, P14</w:t>
            </w:r>
          </w:p>
        </w:tc>
        <w:tc>
          <w:tcPr>
            <w:tcW w:type="dxa" w:w="2088"/>
            <w:vAlign w:val="top"/>
            <w:tcMar>
              <w:top w:w="55" w:type="dxa"/>
              <w:start w:w="60" w:type="dxa"/>
              <w:bottom w:w="55" w:type="dxa"/>
              <w:end w:w="60" w:type="dxa"/>
            </w:tcMar>
          </w:tcPr>
          <w:p>
            <w:pPr>
              <w:spacing w:after="0"/>
            </w:pPr>
            <w:r>
              <w:rPr>
                <w:sz w:val="16"/>
              </w:rPr>
              <w:t>P03 did observe state changes such as delayed/cancelled status and movement to alternatives, but the qualitative record cannot verify whether the underlying calculations were technically correct.</w:t>
            </w:r>
          </w:p>
        </w:tc>
        <w:tc>
          <w:tcPr>
            <w:tcW w:type="dxa" w:w="2088"/>
            <w:vAlign w:val="top"/>
            <w:tcMar>
              <w:top w:w="55" w:type="dxa"/>
              <w:start w:w="60" w:type="dxa"/>
              <w:bottom w:w="55" w:type="dxa"/>
              <w:end w:w="60" w:type="dxa"/>
            </w:tcMar>
          </w:tcPr>
          <w:p>
            <w:pPr>
              <w:spacing w:after="0"/>
            </w:pPr>
            <w:r>
              <w:rPr>
                <w:sz w:val="16"/>
              </w:rPr>
              <w:t>This states the update behaviour users expected. Final Question 1.2 correctness must come from the Technical Check.</w:t>
            </w:r>
          </w:p>
        </w:tc>
      </w:tr>
      <w:tr>
        <w:tc>
          <w:tcPr>
            <w:tcW w:type="dxa" w:w="2088"/>
            <w:vAlign w:val="top"/>
            <w:tcMar>
              <w:top w:w="55" w:type="dxa"/>
              <w:start w:w="60" w:type="dxa"/>
              <w:bottom w:w="55" w:type="dxa"/>
              <w:end w:w="60" w:type="dxa"/>
            </w:tcMar>
          </w:tcPr>
          <w:p>
            <w:pPr>
              <w:spacing w:after="0"/>
            </w:pPr>
            <w:r>
              <w:rPr>
                <w:sz w:val="16"/>
              </w:rPr>
              <w:t>Missing routes and weak disruption scenarios limit the ability to judge update behaviour.</w:t>
            </w:r>
          </w:p>
        </w:tc>
        <w:tc>
          <w:tcPr>
            <w:tcW w:type="dxa" w:w="2131"/>
            <w:vAlign w:val="top"/>
            <w:tcMar>
              <w:top w:w="55" w:type="dxa"/>
              <w:start w:w="60" w:type="dxa"/>
              <w:bottom w:w="55" w:type="dxa"/>
              <w:end w:w="60" w:type="dxa"/>
            </w:tcMar>
          </w:tcPr>
          <w:p>
            <w:pPr>
              <w:spacing w:after="0"/>
            </w:pPr>
            <w:r>
              <w:rPr>
                <w:sz w:val="16"/>
              </w:rPr>
              <w:t>Some sessions exposed missing routes, “normal” states, incomplete disruption detail, or route data that differed from familiar tools, preventing participants from seeing a meaningful changed-condition response.</w:t>
            </w:r>
          </w:p>
        </w:tc>
        <w:tc>
          <w:tcPr>
            <w:tcW w:type="dxa" w:w="1944"/>
            <w:vAlign w:val="top"/>
            <w:tcMar>
              <w:top w:w="55" w:type="dxa"/>
              <w:start w:w="60" w:type="dxa"/>
              <w:bottom w:w="55" w:type="dxa"/>
              <w:end w:w="60" w:type="dxa"/>
            </w:tcMar>
          </w:tcPr>
          <w:p>
            <w:pPr>
              <w:spacing w:after="0"/>
            </w:pPr>
            <w:r>
              <w:rPr>
                <w:sz w:val="16"/>
              </w:rPr>
              <w:t>Consistency and standards; Match between system and the real world; Visibility of system status; Help and documentation</w:t>
            </w:r>
          </w:p>
        </w:tc>
        <w:tc>
          <w:tcPr>
            <w:tcW w:type="dxa" w:w="1901"/>
            <w:vAlign w:val="top"/>
            <w:tcMar>
              <w:top w:w="55" w:type="dxa"/>
              <w:start w:w="60" w:type="dxa"/>
              <w:bottom w:w="55" w:type="dxa"/>
              <w:end w:w="60" w:type="dxa"/>
            </w:tcMar>
          </w:tcPr>
          <w:p>
            <w:pPr>
              <w:spacing w:after="0"/>
            </w:pPr>
            <w:r>
              <w:rPr>
                <w:sz w:val="16"/>
              </w:rPr>
              <w:t>4/15 — P04, P05, P06, P08</w:t>
            </w:r>
          </w:p>
        </w:tc>
        <w:tc>
          <w:tcPr>
            <w:tcW w:type="dxa" w:w="2088"/>
            <w:vAlign w:val="top"/>
            <w:tcMar>
              <w:top w:w="55" w:type="dxa"/>
              <w:start w:w="60" w:type="dxa"/>
              <w:bottom w:w="55" w:type="dxa"/>
              <w:end w:w="60" w:type="dxa"/>
            </w:tcMar>
          </w:tcPr>
          <w:p>
            <w:pPr>
              <w:spacing w:after="0"/>
            </w:pPr>
            <w:r>
              <w:rPr>
                <w:sz w:val="16"/>
              </w:rPr>
              <w:t>Other participants, including P03, experienced clearer status changes and alternative selection, showing that the limitation was not identical across every session.</w:t>
            </w:r>
          </w:p>
        </w:tc>
        <w:tc>
          <w:tcPr>
            <w:tcW w:type="dxa" w:w="2088"/>
            <w:vAlign w:val="top"/>
            <w:tcMar>
              <w:top w:w="55" w:type="dxa"/>
              <w:start w:w="60" w:type="dxa"/>
              <w:bottom w:w="55" w:type="dxa"/>
              <w:end w:w="60" w:type="dxa"/>
            </w:tcMar>
          </w:tcPr>
          <w:p>
            <w:pPr>
              <w:spacing w:after="0"/>
            </w:pPr>
            <w:r>
              <w:rPr>
                <w:sz w:val="16"/>
              </w:rPr>
              <w:t>This identifies evidence-readiness and coverage limits. It cannot establish technical Pass/Fail without the defined Technical Check conditions.</w:t>
            </w:r>
          </w:p>
        </w:tc>
      </w:tr>
    </w:tbl>
    <w:p>
      <w:pPr>
        <w:pStyle w:val="Heading2"/>
      </w:pPr>
      <w:r>
        <w:t>Representative evidence trail</w:t>
      </w:r>
    </w:p>
    <w:p>
      <w:pPr>
        <w:pStyle w:val="ListBullet"/>
        <w:spacing w:after="40"/>
      </w:pPr>
      <w:r>
        <w:rPr>
          <w:b/>
        </w:rPr>
        <w:t xml:space="preserve">Theme 1 · P01: </w:t>
      </w:r>
      <w:r>
        <w:t>“I still want to know how fresh and reliable the alternative information is.”</w:t>
      </w:r>
    </w:p>
    <w:p>
      <w:pPr>
        <w:pStyle w:val="ListBullet"/>
        <w:spacing w:after="40"/>
      </w:pPr>
      <w:r>
        <w:rPr>
          <w:b/>
        </w:rPr>
        <w:t xml:space="preserve">Theme 1 · P14: </w:t>
      </w:r>
      <w:r>
        <w:t>Wanted to know “how reliable or up to date the information is and when it was last updated.”</w:t>
      </w:r>
    </w:p>
    <w:p>
      <w:pPr>
        <w:pStyle w:val="ListBullet"/>
        <w:spacing w:after="40"/>
      </w:pPr>
      <w:r>
        <w:rPr>
          <w:b/>
        </w:rPr>
        <w:t xml:space="preserve">Theme 2 · P03: </w:t>
      </w:r>
      <w:r>
        <w:t>Wondered whether the alternative chosen “could also become late after I choose it.”</w:t>
      </w:r>
    </w:p>
    <w:p>
      <w:pPr>
        <w:pStyle w:val="ListBullet"/>
        <w:spacing w:after="40"/>
      </w:pPr>
      <w:r>
        <w:rPr>
          <w:b/>
        </w:rPr>
        <w:t xml:space="preserve">Theme 2 · P13: </w:t>
      </w:r>
      <w:r>
        <w:t>Wanted to know “whether an alternative has a high chance of being affected too.”</w:t>
      </w:r>
    </w:p>
    <w:p>
      <w:pPr>
        <w:pStyle w:val="ListBullet"/>
        <w:spacing w:after="40"/>
      </w:pPr>
      <w:r>
        <w:rPr>
          <w:b/>
        </w:rPr>
        <w:t xml:space="preserve">Theme 3 · P05: </w:t>
      </w:r>
      <w:r>
        <w:t>Expected actual disruption details, but “everything just said ‘normal’.”</w:t>
      </w:r>
    </w:p>
    <w:p>
      <w:pPr>
        <w:pStyle w:val="ListBullet"/>
        <w:spacing w:after="40"/>
      </w:pPr>
      <w:r>
        <w:rPr>
          <w:b/>
        </w:rPr>
        <w:t xml:space="preserve">Theme 3 · P04: </w:t>
      </w:r>
      <w:r>
        <w:t>Reported missing valid routes and uncertainty about how the system retrieved its data.</w:t>
      </w:r>
    </w:p>
    <w:p/>
    <w:p>
      <w:pPr>
        <w:pStyle w:val="Heading1"/>
      </w:pPr>
      <w:r>
        <w:t>2.1 In-context Use</w:t>
      </w:r>
    </w:p>
    <w:p>
      <w:pPr>
        <w:spacing w:after="120"/>
      </w:pPr>
      <w:r>
        <w:t>When and why would passengers need this type of disruption support, and what information fits their real travel decision process?</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2088"/>
            <w:vAlign w:val="top"/>
            <w:tcMar>
              <w:top w:w="55" w:type="dxa"/>
              <w:start w:w="60" w:type="dxa"/>
              <w:bottom w:w="55" w:type="dxa"/>
              <w:end w:w="60" w:type="dxa"/>
            </w:tcMar>
            <w:shd w:fill="EAF2F8"/>
          </w:tcPr>
          <w:p>
            <w:r>
              <w:rPr>
                <w:b/>
                <w:sz w:val="16"/>
              </w:rPr>
              <w:t>Theme as a Claim</w:t>
            </w:r>
          </w:p>
        </w:tc>
        <w:tc>
          <w:tcPr>
            <w:tcW w:type="dxa" w:w="2131"/>
            <w:vAlign w:val="top"/>
            <w:tcMar>
              <w:top w:w="55" w:type="dxa"/>
              <w:start w:w="60" w:type="dxa"/>
              <w:bottom w:w="55" w:type="dxa"/>
              <w:end w:w="60" w:type="dxa"/>
            </w:tcMar>
            <w:shd w:fill="EAF2F8"/>
          </w:tcPr>
          <w:p>
            <w:r>
              <w:rPr>
                <w:b/>
                <w:sz w:val="16"/>
              </w:rPr>
              <w:t>Short Definition</w:t>
            </w:r>
          </w:p>
        </w:tc>
        <w:tc>
          <w:tcPr>
            <w:tcW w:type="dxa" w:w="1944"/>
            <w:vAlign w:val="top"/>
            <w:tcMar>
              <w:top w:w="55" w:type="dxa"/>
              <w:start w:w="60" w:type="dxa"/>
              <w:bottom w:w="55" w:type="dxa"/>
              <w:end w:w="60" w:type="dxa"/>
            </w:tcMar>
            <w:shd w:fill="EAF2F8"/>
          </w:tcPr>
          <w:p>
            <w:r>
              <w:rPr>
                <w:b/>
                <w:sz w:val="16"/>
              </w:rPr>
              <w:t>Nielsen Codes</w:t>
            </w:r>
          </w:p>
        </w:tc>
        <w:tc>
          <w:tcPr>
            <w:tcW w:type="dxa" w:w="1901"/>
            <w:vAlign w:val="top"/>
            <w:tcMar>
              <w:top w:w="55" w:type="dxa"/>
              <w:start w:w="60" w:type="dxa"/>
              <w:bottom w:w="55" w:type="dxa"/>
              <w:end w:w="60" w:type="dxa"/>
            </w:tcMar>
            <w:shd w:fill="EAF2F8"/>
          </w:tcPr>
          <w:p>
            <w:r>
              <w:rPr>
                <w:b/>
                <w:sz w:val="16"/>
              </w:rPr>
              <w:t>Participants Counted</w:t>
            </w:r>
          </w:p>
        </w:tc>
        <w:tc>
          <w:tcPr>
            <w:tcW w:type="dxa" w:w="2088"/>
            <w:vAlign w:val="top"/>
            <w:tcMar>
              <w:top w:w="55" w:type="dxa"/>
              <w:start w:w="60" w:type="dxa"/>
              <w:bottom w:w="55" w:type="dxa"/>
              <w:end w:w="60" w:type="dxa"/>
            </w:tcMar>
            <w:shd w:fill="EAF2F8"/>
          </w:tcPr>
          <w:p>
            <w:r>
              <w:rPr>
                <w:b/>
                <w:sz w:val="16"/>
              </w:rPr>
              <w:t>Counter-example / Boundary Case</w:t>
            </w:r>
          </w:p>
        </w:tc>
        <w:tc>
          <w:tcPr>
            <w:tcW w:type="dxa" w:w="2088"/>
            <w:vAlign w:val="top"/>
            <w:tcMar>
              <w:top w:w="55" w:type="dxa"/>
              <w:start w:w="60" w:type="dxa"/>
              <w:bottom w:w="55" w:type="dxa"/>
              <w:end w:w="60" w:type="dxa"/>
            </w:tcMar>
            <w:shd w:fill="EAF2F8"/>
          </w:tcPr>
          <w:p>
            <w:r>
              <w:rPr>
                <w:b/>
                <w:sz w:val="16"/>
              </w:rPr>
              <w:t>Bound</w:t>
            </w:r>
          </w:p>
        </w:tc>
      </w:tr>
      <w:tr>
        <w:tc>
          <w:tcPr>
            <w:tcW w:type="dxa" w:w="2088"/>
            <w:vAlign w:val="top"/>
            <w:tcMar>
              <w:top w:w="55" w:type="dxa"/>
              <w:start w:w="60" w:type="dxa"/>
              <w:bottom w:w="55" w:type="dxa"/>
              <w:end w:w="60" w:type="dxa"/>
            </w:tcMar>
          </w:tcPr>
          <w:p>
            <w:pPr>
              <w:spacing w:after="0"/>
            </w:pPr>
            <w:r>
              <w:rPr>
                <w:sz w:val="16"/>
              </w:rPr>
              <w:t>Disruption support is most wanted when a change creates a meaningful personal decision point.</w:t>
            </w:r>
          </w:p>
        </w:tc>
        <w:tc>
          <w:tcPr>
            <w:tcW w:type="dxa" w:w="2131"/>
            <w:vAlign w:val="top"/>
            <w:tcMar>
              <w:top w:w="55" w:type="dxa"/>
              <w:start w:w="60" w:type="dxa"/>
              <w:bottom w:w="55" w:type="dxa"/>
              <w:end w:w="60" w:type="dxa"/>
            </w:tcMar>
          </w:tcPr>
          <w:p>
            <w:pPr>
              <w:spacing w:after="0"/>
            </w:pPr>
            <w:r>
              <w:rPr>
                <w:sz w:val="16"/>
              </w:rPr>
              <w:t>Participants generally wanted support when the disruption could make them late, break a connection, require a route change, or otherwise force a decision, rather than for every network event.</w:t>
            </w:r>
          </w:p>
        </w:tc>
        <w:tc>
          <w:tcPr>
            <w:tcW w:type="dxa" w:w="1944"/>
            <w:vAlign w:val="top"/>
            <w:tcMar>
              <w:top w:w="55" w:type="dxa"/>
              <w:start w:w="60" w:type="dxa"/>
              <w:bottom w:w="55" w:type="dxa"/>
              <w:end w:w="60" w:type="dxa"/>
            </w:tcMar>
          </w:tcPr>
          <w:p>
            <w:pPr>
              <w:spacing w:after="0"/>
            </w:pPr>
            <w:r>
              <w:rPr>
                <w:sz w:val="16"/>
              </w:rPr>
              <w:t>Visibility of system status; Aesthetic and minimalist design; Match between system and the real world; Flexibility and efficiency of use</w:t>
            </w:r>
          </w:p>
        </w:tc>
        <w:tc>
          <w:tcPr>
            <w:tcW w:type="dxa" w:w="1901"/>
            <w:vAlign w:val="top"/>
            <w:tcMar>
              <w:top w:w="55" w:type="dxa"/>
              <w:start w:w="60" w:type="dxa"/>
              <w:bottom w:w="55" w:type="dxa"/>
              <w:end w:w="60" w:type="dxa"/>
            </w:tcMar>
          </w:tcPr>
          <w:p>
            <w:pPr>
              <w:spacing w:after="0"/>
            </w:pPr>
            <w:r>
              <w:rPr>
                <w:sz w:val="16"/>
              </w:rPr>
              <w:t>12/15 — P01, P03, P05, P07, P08, P09, P10, P11, P12, P13, P14, P15</w:t>
            </w:r>
          </w:p>
        </w:tc>
        <w:tc>
          <w:tcPr>
            <w:tcW w:type="dxa" w:w="2088"/>
            <w:vAlign w:val="top"/>
            <w:tcMar>
              <w:top w:w="55" w:type="dxa"/>
              <w:start w:w="60" w:type="dxa"/>
              <w:bottom w:w="55" w:type="dxa"/>
              <w:end w:w="60" w:type="dxa"/>
            </w:tcMar>
          </w:tcPr>
          <w:p>
            <w:pPr>
              <w:spacing w:after="0"/>
            </w:pPr>
            <w:r>
              <w:rPr>
                <w:sz w:val="16"/>
              </w:rPr>
              <w:t>P15 also saw value in ranking support during normal service, so the evidence does not support a disruption-only product role.</w:t>
            </w:r>
          </w:p>
        </w:tc>
        <w:tc>
          <w:tcPr>
            <w:tcW w:type="dxa" w:w="2088"/>
            <w:vAlign w:val="top"/>
            <w:tcMar>
              <w:top w:w="55" w:type="dxa"/>
              <w:start w:w="60" w:type="dxa"/>
              <w:bottom w:w="55" w:type="dxa"/>
              <w:end w:w="60" w:type="dxa"/>
            </w:tcMar>
          </w:tcPr>
          <w:p>
            <w:pPr>
              <w:spacing w:after="0"/>
            </w:pPr>
            <w:r>
              <w:rPr>
                <w:sz w:val="16"/>
              </w:rPr>
              <w:t>The theme supports a disruption-first use case, not a universal claim that the system has no value outside disruptions.</w:t>
            </w:r>
          </w:p>
        </w:tc>
      </w:tr>
      <w:tr>
        <w:tc>
          <w:tcPr>
            <w:tcW w:type="dxa" w:w="2088"/>
            <w:vAlign w:val="top"/>
            <w:tcMar>
              <w:top w:w="55" w:type="dxa"/>
              <w:start w:w="60" w:type="dxa"/>
              <w:bottom w:w="55" w:type="dxa"/>
              <w:end w:w="60" w:type="dxa"/>
            </w:tcMar>
          </w:tcPr>
          <w:p>
            <w:pPr>
              <w:spacing w:after="0"/>
            </w:pPr>
            <w:r>
              <w:rPr>
                <w:sz w:val="16"/>
              </w:rPr>
              <w:t>Passengers use practical thresholds to decide whether to wait or reroute.</w:t>
            </w:r>
          </w:p>
        </w:tc>
        <w:tc>
          <w:tcPr>
            <w:tcW w:type="dxa" w:w="2131"/>
            <w:vAlign w:val="top"/>
            <w:tcMar>
              <w:top w:w="55" w:type="dxa"/>
              <w:start w:w="60" w:type="dxa"/>
              <w:bottom w:w="55" w:type="dxa"/>
              <w:end w:w="60" w:type="dxa"/>
            </w:tcMar>
          </w:tcPr>
          <w:p>
            <w:pPr>
              <w:spacing w:after="0"/>
            </w:pPr>
            <w:r>
              <w:rPr>
                <w:sz w:val="16"/>
              </w:rPr>
              <w:t>Lateness, missed connections, disruption duration, urgency and whether the next appointment can still be reached acted as decision thresholds for staying with the current journey or changing plans.</w:t>
            </w:r>
          </w:p>
        </w:tc>
        <w:tc>
          <w:tcPr>
            <w:tcW w:type="dxa" w:w="1944"/>
            <w:vAlign w:val="top"/>
            <w:tcMar>
              <w:top w:w="55" w:type="dxa"/>
              <w:start w:w="60" w:type="dxa"/>
              <w:bottom w:w="55" w:type="dxa"/>
              <w:end w:w="60" w:type="dxa"/>
            </w:tcMar>
          </w:tcPr>
          <w:p>
            <w:pPr>
              <w:spacing w:after="0"/>
            </w:pPr>
            <w:r>
              <w:rPr>
                <w:sz w:val="16"/>
              </w:rPr>
              <w:t>Visibility of system status; Flexibility and efficiency of use; Error prevention</w:t>
            </w:r>
          </w:p>
        </w:tc>
        <w:tc>
          <w:tcPr>
            <w:tcW w:type="dxa" w:w="1901"/>
            <w:vAlign w:val="top"/>
            <w:tcMar>
              <w:top w:w="55" w:type="dxa"/>
              <w:start w:w="60" w:type="dxa"/>
              <w:bottom w:w="55" w:type="dxa"/>
              <w:end w:w="60" w:type="dxa"/>
            </w:tcMar>
          </w:tcPr>
          <w:p>
            <w:pPr>
              <w:spacing w:after="0"/>
            </w:pPr>
            <w:r>
              <w:rPr>
                <w:sz w:val="16"/>
              </w:rPr>
              <w:t>8/15 — P05, P08, P09, P10, P11, P12, P13, P14</w:t>
            </w:r>
          </w:p>
        </w:tc>
        <w:tc>
          <w:tcPr>
            <w:tcW w:type="dxa" w:w="2088"/>
            <w:vAlign w:val="top"/>
            <w:tcMar>
              <w:top w:w="55" w:type="dxa"/>
              <w:start w:w="60" w:type="dxa"/>
              <w:bottom w:w="55" w:type="dxa"/>
              <w:end w:w="60" w:type="dxa"/>
            </w:tcMar>
          </w:tcPr>
          <w:p>
            <w:pPr>
              <w:spacing w:after="0"/>
            </w:pPr>
            <w:r>
              <w:rPr>
                <w:sz w:val="16"/>
              </w:rPr>
              <w:t>The exact threshold differed between participants; for example, P05 described a personal ten-minute rule while others referred to appointments, connections or general urgency.</w:t>
            </w:r>
          </w:p>
        </w:tc>
        <w:tc>
          <w:tcPr>
            <w:tcW w:type="dxa" w:w="2088"/>
            <w:vAlign w:val="top"/>
            <w:tcMar>
              <w:top w:w="55" w:type="dxa"/>
              <w:start w:w="60" w:type="dxa"/>
              <w:bottom w:w="55" w:type="dxa"/>
              <w:end w:w="60" w:type="dxa"/>
            </w:tcMar>
          </w:tcPr>
          <w:p>
            <w:pPr>
              <w:spacing w:after="0"/>
            </w:pPr>
            <w:r>
              <w:rPr>
                <w:sz w:val="16"/>
              </w:rPr>
              <w:t>The evidence shows the kinds of thresholds used, not a single threshold that should be applied to all passengers.</w:t>
            </w:r>
          </w:p>
        </w:tc>
      </w:tr>
      <w:tr>
        <w:tc>
          <w:tcPr>
            <w:tcW w:type="dxa" w:w="2088"/>
            <w:vAlign w:val="top"/>
            <w:tcMar>
              <w:top w:w="55" w:type="dxa"/>
              <w:start w:w="60" w:type="dxa"/>
              <w:bottom w:w="55" w:type="dxa"/>
              <w:end w:w="60" w:type="dxa"/>
            </w:tcMar>
          </w:tcPr>
          <w:p>
            <w:pPr>
              <w:spacing w:after="0"/>
            </w:pPr>
            <w:r>
              <w:rPr>
                <w:sz w:val="16"/>
              </w:rPr>
              <w:t>Real travel decisions depend on a bundle of journey attributes rather than ETA alone.</w:t>
            </w:r>
          </w:p>
        </w:tc>
        <w:tc>
          <w:tcPr>
            <w:tcW w:type="dxa" w:w="2131"/>
            <w:vAlign w:val="top"/>
            <w:tcMar>
              <w:top w:w="55" w:type="dxa"/>
              <w:start w:w="60" w:type="dxa"/>
              <w:bottom w:w="55" w:type="dxa"/>
              <w:end w:w="60" w:type="dxa"/>
            </w:tcMar>
          </w:tcPr>
          <w:p>
            <w:pPr>
              <w:spacing w:after="0"/>
            </w:pPr>
            <w:r>
              <w:rPr>
                <w:sz w:val="16"/>
              </w:rPr>
              <w:t>Participants described considering combinations of arrival time, transfers, walking distance, route complexity, cost, crowding, accessibility, recommendation rationale and disruption risk.</w:t>
            </w:r>
          </w:p>
        </w:tc>
        <w:tc>
          <w:tcPr>
            <w:tcW w:type="dxa" w:w="1944"/>
            <w:vAlign w:val="top"/>
            <w:tcMar>
              <w:top w:w="55" w:type="dxa"/>
              <w:start w:w="60" w:type="dxa"/>
              <w:bottom w:w="55" w:type="dxa"/>
              <w:end w:w="60" w:type="dxa"/>
            </w:tcMar>
          </w:tcPr>
          <w:p>
            <w:pPr>
              <w:spacing w:after="0"/>
            </w:pPr>
            <w:r>
              <w:rPr>
                <w:sz w:val="16"/>
              </w:rPr>
              <w:t>Recognition rather than recall; Match between system and the real world; Flexibility and efficiency of use</w:t>
            </w:r>
          </w:p>
        </w:tc>
        <w:tc>
          <w:tcPr>
            <w:tcW w:type="dxa" w:w="1901"/>
            <w:vAlign w:val="top"/>
            <w:tcMar>
              <w:top w:w="55" w:type="dxa"/>
              <w:start w:w="60" w:type="dxa"/>
              <w:bottom w:w="55" w:type="dxa"/>
              <w:end w:w="60" w:type="dxa"/>
            </w:tcMar>
          </w:tcPr>
          <w:p>
            <w:pPr>
              <w:spacing w:after="0"/>
            </w:pPr>
            <w:r>
              <w:rPr>
                <w:sz w:val="16"/>
              </w:rPr>
              <w:t>10/15 — P01, P03, P07, P09, P10, P11, P12, P13, P14, P15</w:t>
            </w:r>
          </w:p>
        </w:tc>
        <w:tc>
          <w:tcPr>
            <w:tcW w:type="dxa" w:w="2088"/>
            <w:vAlign w:val="top"/>
            <w:tcMar>
              <w:top w:w="55" w:type="dxa"/>
              <w:start w:w="60" w:type="dxa"/>
              <w:bottom w:w="55" w:type="dxa"/>
              <w:end w:w="60" w:type="dxa"/>
            </w:tcMar>
          </w:tcPr>
          <w:p>
            <w:pPr>
              <w:spacing w:after="0"/>
            </w:pPr>
            <w:r>
              <w:rPr>
                <w:sz w:val="16"/>
              </w:rPr>
              <w:t>Participants did not prioritise the same attributes, and some focused primarily on speed or a small subset of information.</w:t>
            </w:r>
          </w:p>
        </w:tc>
        <w:tc>
          <w:tcPr>
            <w:tcW w:type="dxa" w:w="2088"/>
            <w:vAlign w:val="top"/>
            <w:tcMar>
              <w:top w:w="55" w:type="dxa"/>
              <w:start w:w="60" w:type="dxa"/>
              <w:bottom w:w="55" w:type="dxa"/>
              <w:end w:w="60" w:type="dxa"/>
            </w:tcMar>
          </w:tcPr>
          <w:p>
            <w:pPr>
              <w:spacing w:after="0"/>
            </w:pPr>
            <w:r>
              <w:rPr>
                <w:sz w:val="16"/>
              </w:rPr>
              <w:t>The theme identifies decision-relevant information categories; it does not imply that all fields should always be shown at once.</w:t>
            </w:r>
          </w:p>
        </w:tc>
      </w:tr>
      <w:tr>
        <w:tc>
          <w:tcPr>
            <w:tcW w:type="dxa" w:w="2088"/>
            <w:vAlign w:val="top"/>
            <w:tcMar>
              <w:top w:w="55" w:type="dxa"/>
              <w:start w:w="60" w:type="dxa"/>
              <w:bottom w:w="55" w:type="dxa"/>
              <w:end w:w="60" w:type="dxa"/>
            </w:tcMar>
          </w:tcPr>
          <w:p>
            <w:pPr>
              <w:spacing w:after="0"/>
            </w:pPr>
            <w:r>
              <w:rPr>
                <w:sz w:val="16"/>
              </w:rPr>
              <w:t>The intervention fits best within an existing journey-planning workflow rather than as a separate replacement.</w:t>
            </w:r>
          </w:p>
        </w:tc>
        <w:tc>
          <w:tcPr>
            <w:tcW w:type="dxa" w:w="2131"/>
            <w:vAlign w:val="top"/>
            <w:tcMar>
              <w:top w:w="55" w:type="dxa"/>
              <w:start w:w="60" w:type="dxa"/>
              <w:bottom w:w="55" w:type="dxa"/>
              <w:end w:w="60" w:type="dxa"/>
            </w:tcMar>
          </w:tcPr>
          <w:p>
            <w:pPr>
              <w:spacing w:after="0"/>
            </w:pPr>
            <w:r>
              <w:rPr>
                <w:sz w:val="16"/>
              </w:rPr>
              <w:t>Participants often described the support as something that should appear after a journey is already planned or inside a familiar tool, reducing the need to re-enter a trip or repeat normal planning work.</w:t>
            </w:r>
          </w:p>
        </w:tc>
        <w:tc>
          <w:tcPr>
            <w:tcW w:type="dxa" w:w="1944"/>
            <w:vAlign w:val="top"/>
            <w:tcMar>
              <w:top w:w="55" w:type="dxa"/>
              <w:start w:w="60" w:type="dxa"/>
              <w:bottom w:w="55" w:type="dxa"/>
              <w:end w:w="60" w:type="dxa"/>
            </w:tcMar>
          </w:tcPr>
          <w:p>
            <w:pPr>
              <w:spacing w:after="0"/>
            </w:pPr>
            <w:r>
              <w:rPr>
                <w:sz w:val="16"/>
              </w:rPr>
              <w:t>Consistency and standards; Aesthetic and minimalist design; Flexibility and efficiency of use; Does not fit the framework</w:t>
            </w:r>
          </w:p>
        </w:tc>
        <w:tc>
          <w:tcPr>
            <w:tcW w:type="dxa" w:w="1901"/>
            <w:vAlign w:val="top"/>
            <w:tcMar>
              <w:top w:w="55" w:type="dxa"/>
              <w:start w:w="60" w:type="dxa"/>
              <w:bottom w:w="55" w:type="dxa"/>
              <w:end w:w="60" w:type="dxa"/>
            </w:tcMar>
          </w:tcPr>
          <w:p>
            <w:pPr>
              <w:spacing w:after="0"/>
            </w:pPr>
            <w:r>
              <w:rPr>
                <w:sz w:val="16"/>
              </w:rPr>
              <w:t>7/15 — P01, P03, P08, P10, P13, P14, P15</w:t>
            </w:r>
          </w:p>
        </w:tc>
        <w:tc>
          <w:tcPr>
            <w:tcW w:type="dxa" w:w="2088"/>
            <w:vAlign w:val="top"/>
            <w:tcMar>
              <w:top w:w="55" w:type="dxa"/>
              <w:start w:w="60" w:type="dxa"/>
              <w:bottom w:w="55" w:type="dxa"/>
              <w:end w:w="60" w:type="dxa"/>
            </w:tcMar>
          </w:tcPr>
          <w:p>
            <w:pPr>
              <w:spacing w:after="0"/>
            </w:pPr>
            <w:r>
              <w:rPr>
                <w:sz w:val="16"/>
              </w:rPr>
              <w:t>P15 wanted ranking support even during normal service, extending the role beyond a purely reactive disruption layer.</w:t>
            </w:r>
          </w:p>
        </w:tc>
        <w:tc>
          <w:tcPr>
            <w:tcW w:type="dxa" w:w="2088"/>
            <w:vAlign w:val="top"/>
            <w:tcMar>
              <w:top w:w="55" w:type="dxa"/>
              <w:start w:w="60" w:type="dxa"/>
              <w:bottom w:w="55" w:type="dxa"/>
              <w:end w:w="60" w:type="dxa"/>
            </w:tcMar>
          </w:tcPr>
          <w:p>
            <w:pPr>
              <w:spacing w:after="0"/>
            </w:pPr>
            <w:r>
              <w:rPr>
                <w:sz w:val="16"/>
              </w:rPr>
              <w:t>This supports workflow integration as a design direction; it does not establish preference for a specific host platform or product architecture.</w:t>
            </w:r>
          </w:p>
        </w:tc>
      </w:tr>
    </w:tbl>
    <w:p>
      <w:pPr>
        <w:pStyle w:val="Heading2"/>
      </w:pPr>
      <w:r>
        <w:t>Representative evidence trail</w:t>
      </w:r>
    </w:p>
    <w:p>
      <w:pPr>
        <w:pStyle w:val="ListBullet"/>
        <w:spacing w:after="40"/>
      </w:pPr>
      <w:r>
        <w:rPr>
          <w:b/>
        </w:rPr>
        <w:t xml:space="preserve">Theme 1 · P10: </w:t>
      </w:r>
      <w:r>
        <w:t>Wanted support only when “I’m foreseeably going to be late for my next appointment.”</w:t>
      </w:r>
    </w:p>
    <w:p>
      <w:pPr>
        <w:pStyle w:val="ListBullet"/>
        <w:spacing w:after="40"/>
      </w:pPr>
      <w:r>
        <w:rPr>
          <w:b/>
        </w:rPr>
        <w:t xml:space="preserve">Theme 1 · P14: </w:t>
      </w:r>
      <w:r>
        <w:t>Wanted it “as soon as the disruption actually affects the journey I am taking.”</w:t>
      </w:r>
    </w:p>
    <w:p>
      <w:pPr>
        <w:pStyle w:val="ListBullet"/>
        <w:spacing w:after="40"/>
      </w:pPr>
      <w:r>
        <w:rPr>
          <w:b/>
        </w:rPr>
        <w:t xml:space="preserve">Theme 2 · P09: </w:t>
      </w:r>
      <w:r>
        <w:t>Would wait for a small delay, but reroute if the delay was long or a transfer would be missed.</w:t>
      </w:r>
    </w:p>
    <w:p>
      <w:pPr>
        <w:pStyle w:val="ListBullet"/>
        <w:spacing w:after="40"/>
      </w:pPr>
      <w:r>
        <w:rPr>
          <w:b/>
        </w:rPr>
        <w:t xml:space="preserve">Theme 2 · P05: </w:t>
      </w:r>
      <w:r>
        <w:t>Described a personal ten-minute rule before changing plan.</w:t>
      </w:r>
    </w:p>
    <w:p>
      <w:pPr>
        <w:pStyle w:val="ListBullet"/>
        <w:spacing w:after="40"/>
      </w:pPr>
      <w:r>
        <w:rPr>
          <w:b/>
        </w:rPr>
        <w:t xml:space="preserve">Theme 3 · P10: </w:t>
      </w:r>
      <w:r>
        <w:t>Suggested comparing ETA, number of transfers and walking distance side by side.</w:t>
      </w:r>
    </w:p>
    <w:p>
      <w:pPr>
        <w:pStyle w:val="ListBullet"/>
        <w:spacing w:after="40"/>
      </w:pPr>
      <w:r>
        <w:rPr>
          <w:b/>
        </w:rPr>
        <w:t xml:space="preserve">Theme 3 · P14: </w:t>
      </w:r>
      <w:r>
        <w:t>Also wanted crowding and accessibility information.</w:t>
      </w:r>
    </w:p>
    <w:p>
      <w:pPr>
        <w:pStyle w:val="ListBullet"/>
        <w:spacing w:after="40"/>
      </w:pPr>
      <w:r>
        <w:rPr>
          <w:b/>
        </w:rPr>
        <w:t xml:space="preserve">Theme 4 · P08: </w:t>
      </w:r>
      <w:r>
        <w:t>Would prefer the support as a Google Maps plug-in rather than re-entering the destination in another app.</w:t>
      </w:r>
    </w:p>
    <w:p>
      <w:pPr>
        <w:pStyle w:val="ListBullet"/>
        <w:spacing w:after="40"/>
      </w:pPr>
      <w:r>
        <w:rPr>
          <w:b/>
        </w:rPr>
        <w:t xml:space="preserve">Theme 4 · P13: </w:t>
      </w:r>
      <w:r>
        <w:t>Said it would be better if support appeared after a disruption had already been detected.</w:t>
      </w:r>
    </w:p>
    <w:p/>
    <w:p>
      <w:pPr>
        <w:pStyle w:val="Heading1"/>
      </w:pPr>
      <w:r>
        <w:t>2.2 Human Needs</w:t>
      </w:r>
    </w:p>
    <w:p>
      <w:pPr>
        <w:spacing w:after="120"/>
      </w:pPr>
      <w:r>
        <w:t>Do passengers perceive the disruption decision-support prototype as useful and easy to use when making travel decisions during service disruptions?</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2088"/>
            <w:vAlign w:val="top"/>
            <w:tcMar>
              <w:top w:w="55" w:type="dxa"/>
              <w:start w:w="60" w:type="dxa"/>
              <w:bottom w:w="55" w:type="dxa"/>
              <w:end w:w="60" w:type="dxa"/>
            </w:tcMar>
            <w:shd w:fill="EAF2F8"/>
          </w:tcPr>
          <w:p>
            <w:r>
              <w:rPr>
                <w:b/>
                <w:sz w:val="16"/>
              </w:rPr>
              <w:t>Theme as a Claim</w:t>
            </w:r>
          </w:p>
        </w:tc>
        <w:tc>
          <w:tcPr>
            <w:tcW w:type="dxa" w:w="2131"/>
            <w:vAlign w:val="top"/>
            <w:tcMar>
              <w:top w:w="55" w:type="dxa"/>
              <w:start w:w="60" w:type="dxa"/>
              <w:bottom w:w="55" w:type="dxa"/>
              <w:end w:w="60" w:type="dxa"/>
            </w:tcMar>
            <w:shd w:fill="EAF2F8"/>
          </w:tcPr>
          <w:p>
            <w:r>
              <w:rPr>
                <w:b/>
                <w:sz w:val="16"/>
              </w:rPr>
              <w:t>Short Definition</w:t>
            </w:r>
          </w:p>
        </w:tc>
        <w:tc>
          <w:tcPr>
            <w:tcW w:type="dxa" w:w="1944"/>
            <w:vAlign w:val="top"/>
            <w:tcMar>
              <w:top w:w="55" w:type="dxa"/>
              <w:start w:w="60" w:type="dxa"/>
              <w:bottom w:w="55" w:type="dxa"/>
              <w:end w:w="60" w:type="dxa"/>
            </w:tcMar>
            <w:shd w:fill="EAF2F8"/>
          </w:tcPr>
          <w:p>
            <w:r>
              <w:rPr>
                <w:b/>
                <w:sz w:val="16"/>
              </w:rPr>
              <w:t>Nielsen Codes</w:t>
            </w:r>
          </w:p>
        </w:tc>
        <w:tc>
          <w:tcPr>
            <w:tcW w:type="dxa" w:w="1901"/>
            <w:vAlign w:val="top"/>
            <w:tcMar>
              <w:top w:w="55" w:type="dxa"/>
              <w:start w:w="60" w:type="dxa"/>
              <w:bottom w:w="55" w:type="dxa"/>
              <w:end w:w="60" w:type="dxa"/>
            </w:tcMar>
            <w:shd w:fill="EAF2F8"/>
          </w:tcPr>
          <w:p>
            <w:r>
              <w:rPr>
                <w:b/>
                <w:sz w:val="16"/>
              </w:rPr>
              <w:t>Participants Counted</w:t>
            </w:r>
          </w:p>
        </w:tc>
        <w:tc>
          <w:tcPr>
            <w:tcW w:type="dxa" w:w="2088"/>
            <w:vAlign w:val="top"/>
            <w:tcMar>
              <w:top w:w="55" w:type="dxa"/>
              <w:start w:w="60" w:type="dxa"/>
              <w:bottom w:w="55" w:type="dxa"/>
              <w:end w:w="60" w:type="dxa"/>
            </w:tcMar>
            <w:shd w:fill="EAF2F8"/>
          </w:tcPr>
          <w:p>
            <w:r>
              <w:rPr>
                <w:b/>
                <w:sz w:val="16"/>
              </w:rPr>
              <w:t>Counter-example / Boundary Case</w:t>
            </w:r>
          </w:p>
        </w:tc>
        <w:tc>
          <w:tcPr>
            <w:tcW w:type="dxa" w:w="2088"/>
            <w:vAlign w:val="top"/>
            <w:tcMar>
              <w:top w:w="55" w:type="dxa"/>
              <w:start w:w="60" w:type="dxa"/>
              <w:bottom w:w="55" w:type="dxa"/>
              <w:end w:w="60" w:type="dxa"/>
            </w:tcMar>
            <w:shd w:fill="EAF2F8"/>
          </w:tcPr>
          <w:p>
            <w:r>
              <w:rPr>
                <w:b/>
                <w:sz w:val="16"/>
              </w:rPr>
              <w:t>Bound</w:t>
            </w:r>
          </w:p>
        </w:tc>
      </w:tr>
      <w:tr>
        <w:tc>
          <w:tcPr>
            <w:tcW w:type="dxa" w:w="2088"/>
            <w:vAlign w:val="top"/>
            <w:tcMar>
              <w:top w:w="55" w:type="dxa"/>
              <w:start w:w="60" w:type="dxa"/>
              <w:bottom w:w="55" w:type="dxa"/>
              <w:end w:w="60" w:type="dxa"/>
            </w:tcMar>
          </w:tcPr>
          <w:p>
            <w:pPr>
              <w:spacing w:after="0"/>
            </w:pPr>
            <w:r>
              <w:rPr>
                <w:sz w:val="16"/>
              </w:rPr>
              <w:t>Structured recommendations reduce decision effort when rationale and trade-offs remain visible.</w:t>
            </w:r>
          </w:p>
        </w:tc>
        <w:tc>
          <w:tcPr>
            <w:tcW w:type="dxa" w:w="2131"/>
            <w:vAlign w:val="top"/>
            <w:tcMar>
              <w:top w:w="55" w:type="dxa"/>
              <w:start w:w="60" w:type="dxa"/>
              <w:bottom w:w="55" w:type="dxa"/>
              <w:end w:w="60" w:type="dxa"/>
            </w:tcMar>
          </w:tcPr>
          <w:p>
            <w:pPr>
              <w:spacing w:after="0"/>
            </w:pPr>
            <w:r>
              <w:rPr>
                <w:sz w:val="16"/>
              </w:rPr>
              <w:t>Recommendation reasons, ranked options, ETA, transfers, maps and side-by-side comparison gave participants a starting point for deciding while still allowing them to examine alternatives.</w:t>
            </w:r>
          </w:p>
        </w:tc>
        <w:tc>
          <w:tcPr>
            <w:tcW w:type="dxa" w:w="1944"/>
            <w:vAlign w:val="top"/>
            <w:tcMar>
              <w:top w:w="55" w:type="dxa"/>
              <w:start w:w="60" w:type="dxa"/>
              <w:bottom w:w="55" w:type="dxa"/>
              <w:end w:w="60" w:type="dxa"/>
            </w:tcMar>
          </w:tcPr>
          <w:p>
            <w:pPr>
              <w:spacing w:after="0"/>
            </w:pPr>
            <w:r>
              <w:rPr>
                <w:sz w:val="16"/>
              </w:rPr>
              <w:t>Recognition rather than recall; Flexibility and efficiency of use; User control and freedom; Help and documentation</w:t>
            </w:r>
          </w:p>
        </w:tc>
        <w:tc>
          <w:tcPr>
            <w:tcW w:type="dxa" w:w="1901"/>
            <w:vAlign w:val="top"/>
            <w:tcMar>
              <w:top w:w="55" w:type="dxa"/>
              <w:start w:w="60" w:type="dxa"/>
              <w:bottom w:w="55" w:type="dxa"/>
              <w:end w:w="60" w:type="dxa"/>
            </w:tcMar>
          </w:tcPr>
          <w:p>
            <w:pPr>
              <w:spacing w:after="0"/>
            </w:pPr>
            <w:r>
              <w:rPr>
                <w:sz w:val="16"/>
              </w:rPr>
              <w:t>7/15 — P01, P02, P03, P07, P09, P10, P15</w:t>
            </w:r>
          </w:p>
        </w:tc>
        <w:tc>
          <w:tcPr>
            <w:tcW w:type="dxa" w:w="2088"/>
            <w:vAlign w:val="top"/>
            <w:tcMar>
              <w:top w:w="55" w:type="dxa"/>
              <w:start w:w="60" w:type="dxa"/>
              <w:bottom w:w="55" w:type="dxa"/>
              <w:end w:w="60" w:type="dxa"/>
            </w:tcMar>
          </w:tcPr>
          <w:p>
            <w:pPr>
              <w:spacing w:after="0"/>
            </w:pPr>
            <w:r>
              <w:rPr>
                <w:sz w:val="16"/>
              </w:rPr>
              <w:t>P08 found repeated comparison burdensome, showing that structured support can lose its benefit when the workflow asks users to reconsider the same choice unnecessarily.</w:t>
            </w:r>
          </w:p>
        </w:tc>
        <w:tc>
          <w:tcPr>
            <w:tcW w:type="dxa" w:w="2088"/>
            <w:vAlign w:val="top"/>
            <w:tcMar>
              <w:top w:w="55" w:type="dxa"/>
              <w:start w:w="60" w:type="dxa"/>
              <w:bottom w:w="55" w:type="dxa"/>
              <w:end w:w="60" w:type="dxa"/>
            </w:tcMar>
          </w:tcPr>
          <w:p>
            <w:pPr>
              <w:spacing w:after="0"/>
            </w:pPr>
            <w:r>
              <w:rPr>
                <w:sz w:val="16"/>
              </w:rPr>
              <w:t>This is qualitative evidence of experienced usefulness/ease. Final PU/PEOU claims must be integrated with TAM results.</w:t>
            </w:r>
          </w:p>
        </w:tc>
      </w:tr>
      <w:tr>
        <w:tc>
          <w:tcPr>
            <w:tcW w:type="dxa" w:w="2088"/>
            <w:vAlign w:val="top"/>
            <w:tcMar>
              <w:top w:w="55" w:type="dxa"/>
              <w:start w:w="60" w:type="dxa"/>
              <w:bottom w:w="55" w:type="dxa"/>
              <w:end w:w="60" w:type="dxa"/>
            </w:tcMar>
          </w:tcPr>
          <w:p>
            <w:pPr>
              <w:spacing w:after="0"/>
            </w:pPr>
            <w:r>
              <w:rPr>
                <w:sz w:val="16"/>
              </w:rPr>
              <w:t>Perceived ease of use falls when information is dense, repetitive, or presented before it is needed.</w:t>
            </w:r>
          </w:p>
        </w:tc>
        <w:tc>
          <w:tcPr>
            <w:tcW w:type="dxa" w:w="2131"/>
            <w:vAlign w:val="top"/>
            <w:tcMar>
              <w:top w:w="55" w:type="dxa"/>
              <w:start w:w="60" w:type="dxa"/>
              <w:bottom w:w="55" w:type="dxa"/>
              <w:end w:w="60" w:type="dxa"/>
            </w:tcMar>
          </w:tcPr>
          <w:p>
            <w:pPr>
              <w:spacing w:after="0"/>
            </w:pPr>
            <w:r>
              <w:rPr>
                <w:sz w:val="16"/>
              </w:rPr>
              <w:t>Participants described busy early screens, dense comparison text, repeated decision steps and unnecessary route detail as adding cognitive effort to an otherwise understandable task.</w:t>
            </w:r>
          </w:p>
        </w:tc>
        <w:tc>
          <w:tcPr>
            <w:tcW w:type="dxa" w:w="1944"/>
            <w:vAlign w:val="top"/>
            <w:tcMar>
              <w:top w:w="55" w:type="dxa"/>
              <w:start w:w="60" w:type="dxa"/>
              <w:bottom w:w="55" w:type="dxa"/>
              <w:end w:w="60" w:type="dxa"/>
            </w:tcMar>
          </w:tcPr>
          <w:p>
            <w:pPr>
              <w:spacing w:after="0"/>
            </w:pPr>
            <w:r>
              <w:rPr>
                <w:sz w:val="16"/>
              </w:rPr>
              <w:t>Aesthetic and minimalist design; Consistency and standards; Help and documentation</w:t>
            </w:r>
          </w:p>
        </w:tc>
        <w:tc>
          <w:tcPr>
            <w:tcW w:type="dxa" w:w="1901"/>
            <w:vAlign w:val="top"/>
            <w:tcMar>
              <w:top w:w="55" w:type="dxa"/>
              <w:start w:w="60" w:type="dxa"/>
              <w:bottom w:w="55" w:type="dxa"/>
              <w:end w:w="60" w:type="dxa"/>
            </w:tcMar>
          </w:tcPr>
          <w:p>
            <w:pPr>
              <w:spacing w:after="0"/>
            </w:pPr>
            <w:r>
              <w:rPr>
                <w:sz w:val="16"/>
              </w:rPr>
              <w:t>5/15 — P01, P02, P08, P09, P10</w:t>
            </w:r>
          </w:p>
        </w:tc>
        <w:tc>
          <w:tcPr>
            <w:tcW w:type="dxa" w:w="2088"/>
            <w:vAlign w:val="top"/>
            <w:tcMar>
              <w:top w:w="55" w:type="dxa"/>
              <w:start w:w="60" w:type="dxa"/>
              <w:bottom w:w="55" w:type="dxa"/>
              <w:end w:w="60" w:type="dxa"/>
            </w:tcMar>
          </w:tcPr>
          <w:p>
            <w:pPr>
              <w:spacing w:after="0"/>
            </w:pPr>
            <w:r>
              <w:rPr>
                <w:sz w:val="16"/>
              </w:rPr>
              <w:t>P03 described the interaction as understandable and used the displayed journey information without the same level of difficulty.</w:t>
            </w:r>
          </w:p>
        </w:tc>
        <w:tc>
          <w:tcPr>
            <w:tcW w:type="dxa" w:w="2088"/>
            <w:vAlign w:val="top"/>
            <w:tcMar>
              <w:top w:w="55" w:type="dxa"/>
              <w:start w:w="60" w:type="dxa"/>
              <w:bottom w:w="55" w:type="dxa"/>
              <w:end w:w="60" w:type="dxa"/>
            </w:tcMar>
          </w:tcPr>
          <w:p>
            <w:pPr>
              <w:spacing w:after="0"/>
            </w:pPr>
            <w:r>
              <w:rPr>
                <w:sz w:val="16"/>
              </w:rPr>
              <w:t>This explains qualitative ease-of-use barriers; it should complement, not substitute for, TAM PEOU results.</w:t>
            </w:r>
          </w:p>
        </w:tc>
      </w:tr>
      <w:tr>
        <w:tc>
          <w:tcPr>
            <w:tcW w:type="dxa" w:w="2088"/>
            <w:vAlign w:val="top"/>
            <w:tcMar>
              <w:top w:w="55" w:type="dxa"/>
              <w:start w:w="60" w:type="dxa"/>
              <w:bottom w:w="55" w:type="dxa"/>
              <w:end w:w="60" w:type="dxa"/>
            </w:tcMar>
          </w:tcPr>
          <w:p>
            <w:pPr>
              <w:spacing w:after="0"/>
            </w:pPr>
            <w:r>
              <w:rPr>
                <w:sz w:val="16"/>
              </w:rPr>
              <w:t>Perceived usefulness depends on a clear advantage over familiar travel tools.</w:t>
            </w:r>
          </w:p>
        </w:tc>
        <w:tc>
          <w:tcPr>
            <w:tcW w:type="dxa" w:w="2131"/>
            <w:vAlign w:val="top"/>
            <w:tcMar>
              <w:top w:w="55" w:type="dxa"/>
              <w:start w:w="60" w:type="dxa"/>
              <w:bottom w:w="55" w:type="dxa"/>
              <w:end w:w="60" w:type="dxa"/>
            </w:tcMar>
          </w:tcPr>
          <w:p>
            <w:pPr>
              <w:spacing w:after="0"/>
            </w:pPr>
            <w:r>
              <w:rPr>
                <w:sz w:val="16"/>
              </w:rPr>
              <w:t>Participants compared the prototype with Google Maps or existing journey-planning habits. Consolidated disruption support and journey-specific reasoning added value, while duplicated normal-planning functions or a separate workflow weakened the perceived advantage.</w:t>
            </w:r>
          </w:p>
        </w:tc>
        <w:tc>
          <w:tcPr>
            <w:tcW w:type="dxa" w:w="1944"/>
            <w:vAlign w:val="top"/>
            <w:tcMar>
              <w:top w:w="55" w:type="dxa"/>
              <w:start w:w="60" w:type="dxa"/>
              <w:bottom w:w="55" w:type="dxa"/>
              <w:end w:w="60" w:type="dxa"/>
            </w:tcMar>
          </w:tcPr>
          <w:p>
            <w:pPr>
              <w:spacing w:after="0"/>
            </w:pPr>
            <w:r>
              <w:rPr>
                <w:sz w:val="16"/>
              </w:rPr>
              <w:t>Consistency and standards; Match between system and the real world; Flexibility and efficiency of use; Does not fit the framework</w:t>
            </w:r>
          </w:p>
        </w:tc>
        <w:tc>
          <w:tcPr>
            <w:tcW w:type="dxa" w:w="1901"/>
            <w:vAlign w:val="top"/>
            <w:tcMar>
              <w:top w:w="55" w:type="dxa"/>
              <w:start w:w="60" w:type="dxa"/>
              <w:bottom w:w="55" w:type="dxa"/>
              <w:end w:w="60" w:type="dxa"/>
            </w:tcMar>
          </w:tcPr>
          <w:p>
            <w:pPr>
              <w:spacing w:after="0"/>
            </w:pPr>
            <w:r>
              <w:rPr>
                <w:sz w:val="16"/>
              </w:rPr>
              <w:t>6/15 — P01, P08, P11, P13, P14, P15</w:t>
            </w:r>
          </w:p>
        </w:tc>
        <w:tc>
          <w:tcPr>
            <w:tcW w:type="dxa" w:w="2088"/>
            <w:vAlign w:val="top"/>
            <w:tcMar>
              <w:top w:w="55" w:type="dxa"/>
              <w:start w:w="60" w:type="dxa"/>
              <w:bottom w:w="55" w:type="dxa"/>
              <w:end w:w="60" w:type="dxa"/>
            </w:tcMar>
          </w:tcPr>
          <w:p>
            <w:pPr>
              <w:spacing w:after="0"/>
            </w:pPr>
            <w:r>
              <w:rPr>
                <w:sz w:val="16"/>
              </w:rPr>
              <w:t>P15 valued generated ranking even during normal service, suggesting that usefulness can extend beyond disruption if the ranking itself provides a clear benefit.</w:t>
            </w:r>
          </w:p>
        </w:tc>
        <w:tc>
          <w:tcPr>
            <w:tcW w:type="dxa" w:w="2088"/>
            <w:vAlign w:val="top"/>
            <w:tcMar>
              <w:top w:w="55" w:type="dxa"/>
              <w:start w:w="60" w:type="dxa"/>
              <w:bottom w:w="55" w:type="dxa"/>
              <w:end w:w="60" w:type="dxa"/>
            </w:tcMar>
          </w:tcPr>
          <w:p>
            <w:pPr>
              <w:spacing w:after="0"/>
            </w:pPr>
            <w:r>
              <w:rPr>
                <w:sz w:val="16"/>
              </w:rPr>
              <w:t>The theme supports conditional usefulness; it does not establish preference for this prototype over existing tools.</w:t>
            </w:r>
          </w:p>
        </w:tc>
      </w:tr>
      <w:tr>
        <w:tc>
          <w:tcPr>
            <w:tcW w:type="dxa" w:w="2088"/>
            <w:vAlign w:val="top"/>
            <w:tcMar>
              <w:top w:w="55" w:type="dxa"/>
              <w:start w:w="60" w:type="dxa"/>
              <w:bottom w:w="55" w:type="dxa"/>
              <w:end w:w="60" w:type="dxa"/>
            </w:tcMar>
          </w:tcPr>
          <w:p>
            <w:pPr>
              <w:spacing w:after="0"/>
            </w:pPr>
            <w:r>
              <w:rPr>
                <w:sz w:val="16"/>
              </w:rPr>
              <w:t>Trust in decision support depends on confidence that the data are current, complete and reliable.</w:t>
            </w:r>
          </w:p>
        </w:tc>
        <w:tc>
          <w:tcPr>
            <w:tcW w:type="dxa" w:w="2131"/>
            <w:vAlign w:val="top"/>
            <w:tcMar>
              <w:top w:w="55" w:type="dxa"/>
              <w:start w:w="60" w:type="dxa"/>
              <w:bottom w:w="55" w:type="dxa"/>
              <w:end w:w="60" w:type="dxa"/>
            </w:tcMar>
          </w:tcPr>
          <w:p>
            <w:pPr>
              <w:spacing w:after="0"/>
            </w:pPr>
            <w:r>
              <w:rPr>
                <w:sz w:val="16"/>
              </w:rPr>
              <w:t>Participants linked confidence in recommendations to update recency, route completeness, accurate arrival information and whether alternatives could also be disrupted.</w:t>
            </w:r>
          </w:p>
        </w:tc>
        <w:tc>
          <w:tcPr>
            <w:tcW w:type="dxa" w:w="1944"/>
            <w:vAlign w:val="top"/>
            <w:tcMar>
              <w:top w:w="55" w:type="dxa"/>
              <w:start w:w="60" w:type="dxa"/>
              <w:bottom w:w="55" w:type="dxa"/>
              <w:end w:w="60" w:type="dxa"/>
            </w:tcMar>
          </w:tcPr>
          <w:p>
            <w:pPr>
              <w:spacing w:after="0"/>
            </w:pPr>
            <w:r>
              <w:rPr>
                <w:sz w:val="16"/>
              </w:rPr>
              <w:t>Visibility of system status; Match between system and the real world; Error prevention</w:t>
            </w:r>
          </w:p>
        </w:tc>
        <w:tc>
          <w:tcPr>
            <w:tcW w:type="dxa" w:w="1901"/>
            <w:vAlign w:val="top"/>
            <w:tcMar>
              <w:top w:w="55" w:type="dxa"/>
              <w:start w:w="60" w:type="dxa"/>
              <w:bottom w:w="55" w:type="dxa"/>
              <w:end w:w="60" w:type="dxa"/>
            </w:tcMar>
          </w:tcPr>
          <w:p>
            <w:pPr>
              <w:spacing w:after="0"/>
            </w:pPr>
            <w:r>
              <w:rPr>
                <w:sz w:val="16"/>
              </w:rPr>
              <w:t>7/15 — P01, P02, P03, P05, P12, P13, P14</w:t>
            </w:r>
          </w:p>
        </w:tc>
        <w:tc>
          <w:tcPr>
            <w:tcW w:type="dxa" w:w="2088"/>
            <w:vAlign w:val="top"/>
            <w:tcMar>
              <w:top w:w="55" w:type="dxa"/>
              <w:start w:w="60" w:type="dxa"/>
              <w:bottom w:w="55" w:type="dxa"/>
              <w:end w:w="60" w:type="dxa"/>
            </w:tcMar>
          </w:tcPr>
          <w:p>
            <w:pPr>
              <w:spacing w:after="0"/>
            </w:pPr>
            <w:r>
              <w:rPr>
                <w:sz w:val="16"/>
              </w:rPr>
              <w:t>P06 trusted the clear “no significant disruption” message in the tested scenario, although that session did not expose a changing disruption state.</w:t>
            </w:r>
          </w:p>
        </w:tc>
        <w:tc>
          <w:tcPr>
            <w:tcW w:type="dxa" w:w="2088"/>
            <w:vAlign w:val="top"/>
            <w:tcMar>
              <w:top w:w="55" w:type="dxa"/>
              <w:start w:w="60" w:type="dxa"/>
              <w:bottom w:w="55" w:type="dxa"/>
              <w:end w:w="60" w:type="dxa"/>
            </w:tcMar>
          </w:tcPr>
          <w:p>
            <w:pPr>
              <w:spacing w:after="0"/>
            </w:pPr>
            <w:r>
              <w:rPr>
                <w:sz w:val="16"/>
              </w:rPr>
              <w:t>This is a qualitative trust condition. It does not establish technical data quality and must be read alongside the Technical Check.</w:t>
            </w:r>
          </w:p>
        </w:tc>
      </w:tr>
    </w:tbl>
    <w:p>
      <w:pPr>
        <w:pStyle w:val="Heading2"/>
      </w:pPr>
      <w:r>
        <w:t>Representative evidence trail</w:t>
      </w:r>
    </w:p>
    <w:p>
      <w:pPr>
        <w:pStyle w:val="ListBullet"/>
        <w:spacing w:after="40"/>
      </w:pPr>
      <w:r>
        <w:rPr>
          <w:b/>
        </w:rPr>
        <w:t xml:space="preserve">Theme 1 · P02: </w:t>
      </w:r>
      <w:r>
        <w:t>A short recommendation such as “fewer transfers and easier to follow” was easier than working it out from all route details.</w:t>
      </w:r>
    </w:p>
    <w:p>
      <w:pPr>
        <w:pStyle w:val="ListBullet"/>
        <w:spacing w:after="40"/>
      </w:pPr>
      <w:r>
        <w:rPr>
          <w:b/>
        </w:rPr>
        <w:t xml:space="preserve">Theme 1 · P15: </w:t>
      </w:r>
      <w:r>
        <w:t>Wanted the best option first, then the ability to compare it with other options before deciding whether to agree.</w:t>
      </w:r>
    </w:p>
    <w:p>
      <w:pPr>
        <w:pStyle w:val="ListBullet"/>
        <w:spacing w:after="40"/>
      </w:pPr>
      <w:r>
        <w:rPr>
          <w:b/>
        </w:rPr>
        <w:t xml:space="preserve">Theme 2 · P01: </w:t>
      </w:r>
      <w:r>
        <w:t>Said the first selection stage felt “a little busy.”</w:t>
      </w:r>
    </w:p>
    <w:p>
      <w:pPr>
        <w:pStyle w:val="ListBullet"/>
        <w:spacing w:after="40"/>
      </w:pPr>
      <w:r>
        <w:rPr>
          <w:b/>
        </w:rPr>
        <w:t xml:space="preserve">Theme 2 · P08: </w:t>
      </w:r>
      <w:r>
        <w:t>Reported that the comparison section contained too much dense text.</w:t>
      </w:r>
    </w:p>
    <w:p>
      <w:pPr>
        <w:pStyle w:val="ListBullet"/>
        <w:spacing w:after="40"/>
      </w:pPr>
      <w:r>
        <w:rPr>
          <w:b/>
        </w:rPr>
        <w:t xml:space="preserve">Theme 3 · P08: </w:t>
      </w:r>
      <w:r>
        <w:t>Said a Google Maps plug-in would be more appealing than opening a separate app.</w:t>
      </w:r>
    </w:p>
    <w:p>
      <w:pPr>
        <w:pStyle w:val="ListBullet"/>
        <w:spacing w:after="40"/>
      </w:pPr>
      <w:r>
        <w:rPr>
          <w:b/>
        </w:rPr>
        <w:t xml:space="preserve">Theme 3 · P01: </w:t>
      </w:r>
      <w:r>
        <w:t>Said normal planning was not the main value; the extra decision support mattered when something was actually wrong.</w:t>
      </w:r>
    </w:p>
    <w:p>
      <w:pPr>
        <w:pStyle w:val="ListBullet"/>
        <w:spacing w:after="40"/>
      </w:pPr>
      <w:r>
        <w:rPr>
          <w:b/>
        </w:rPr>
        <w:t xml:space="preserve">Theme 4 · P01: </w:t>
      </w:r>
      <w:r>
        <w:t>Uncertainty about data freshness reduced confidence.</w:t>
      </w:r>
    </w:p>
    <w:p>
      <w:pPr>
        <w:pStyle w:val="ListBullet"/>
        <w:spacing w:after="40"/>
      </w:pPr>
      <w:r>
        <w:rPr>
          <w:b/>
        </w:rPr>
        <w:t xml:space="preserve">Theme 4 · P12: </w:t>
      </w:r>
      <w:r>
        <w:t>Described inaccurate bus arrival estimates and skipped services as a current pain point.</w:t>
      </w:r>
    </w:p>
    <w:p/>
    <w:p>
      <w:pPr>
        <w:pStyle w:val="Heading1"/>
      </w:pPr>
      <w:r>
        <w:t>Cross-Question Interpretation</w:t>
      </w:r>
    </w:p>
    <w:p>
      <w:r>
        <w:t>Across the four committed questions, the deductive usability evidence repeatedly connects three ideas: passengers need disruption information translated into personal journey consequences; they need alternatives that are concise and directly comparable; and they need the intervention to fit an existing journey-planning workflow without removing their control. The strongest qualitative evidence concerns visibility of system status, real-world journey fit, selective presentation, and recognition rather than recall. However, these themes do not replace the other evidence strands: technical correctness must be established from the Technical Check, formal task completion and assistance from the usability-session record, and perceived usefulness/ease from TAM.</w:t>
      </w:r>
    </w:p>
    <w:p>
      <w:pPr>
        <w:pStyle w:val="Heading1"/>
      </w:pPr>
      <w:r>
        <w:t>Use in the Week 8 Integration Table</w:t>
      </w:r>
    </w:p>
    <w:p>
      <w:r>
        <w:t>For each committed question, place these qualitative themes beside the corresponding quantitative or technical finding, identify convergence, divergence or silence, and then write one integrated statement using the course register: demonstrates, suggests, or cannot establish. Where a qualitative theme describes a requirement or concern rather than an observed outcome, keep that distinction explicit.</w:t>
      </w:r>
    </w:p>
    <w:p>
      <w:pPr>
        <w:spacing w:before="160"/>
      </w:pPr>
      <w:r>
        <w:rPr>
          <w:b/>
        </w:rPr>
        <w:t xml:space="preserve">Analysis basis: </w:t>
      </w:r>
      <w:r>
        <w:t>NVivo Nielsen evidence exports, participant-presence matrix, refined deductive findings and P15 coding summary in the supplied deductive-analysis package. The Nielsen framework was used as the deductive code structure; themes were generated from the coded evidence rather than copied from heuristic names.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3D8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3D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D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