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Bdr/>
        <w:spacing/>
        <w:ind/>
        <w:rPr/>
      </w:pPr>
      <w:r>
        <w:t xml:space="preserve">Supplementary material S1</w:t>
      </w:r>
      <w:r/>
    </w:p>
    <w:p>
      <w:pPr>
        <w:pStyle w:val="15"/>
        <w:pBdr/>
        <w:spacing/>
        <w:ind/>
        <w:rPr/>
      </w:pPr>
      <w:r>
        <w:t xml:space="preserve">Statistical shape model</w:t>
      </w:r>
      <w:r/>
    </w:p>
    <w:p>
      <w:pPr>
        <w:pBdr/>
        <w:spacing/>
        <w:ind/>
        <w:rPr>
          <w:highlight w:val="none"/>
        </w:rPr>
      </w:pPr>
      <w:r>
        <w:t xml:space="preserve">The curves extracted from the fundus photographs were smooted using B-splines and their inflection points computed. For a B-spline curve </w:t>
      </w:r>
      <m:oMath>
        <m:r>
          <m:rPr/>
          <m:t>Γ</m:t>
        </m:r>
        <m:r>
          <m:rPr/>
          <m:t>(t)=</m:t>
        </m:r>
        <m:r>
          <w:rPr>
            <w:rFonts w:ascii="Cambria Math" w:hAnsi="Cambria Math" w:eastAsia="Cambria Math" w:cs="Cambria Math"/>
          </w:rPr>
          <m:rPr/>
          <m:t>(</m:t>
        </m:r>
        <m:r>
          <m:rPr/>
          <m:t>x(t),y</m:t>
        </m:r>
        <m:d>
          <m:dPr>
            <m:begChr m:val="("/>
            <m:endChr m:val=")"/>
            <m:ctrlPr/>
          </m:dPr>
          <m:e>
            <m:r>
              <w:rPr>
                <w:rFonts w:ascii="Cambria Math" w:hAnsi="Cambria Math" w:eastAsia="Cambria Math" w:cs="Cambria Math"/>
              </w:rPr>
              <m:rPr/>
              <m:t>t</m:t>
            </m:r>
          </m:e>
        </m:d>
        <m:r>
          <w:rPr>
            <w:rFonts w:ascii="Cambria Math" w:hAnsi="Cambria Math" w:eastAsia="Cambria Math" w:cs="Cambria Math"/>
          </w:rPr>
          <m:rPr/>
          <m:t>)</m:t>
        </m:r>
      </m:oMath>
      <w:r>
        <w:t xml:space="preserve"> sampled at times </w:t>
      </w:r>
      <m:oMath>
        <m:sSub>
          <m:sSubPr>
            <m:ctrlPr/>
          </m:sSubPr>
          <m:e>
            <m:r>
              <w:rPr>
                <w:rFonts w:ascii="Cambria Math" w:hAnsi="Cambria Math" w:eastAsia="Cambria Math" w:cs="Cambria Math"/>
              </w:rPr>
              <m:rPr/>
              <m:t>t</m:t>
            </m:r>
          </m:e>
          <m:sub>
            <m:r>
              <w:rPr>
                <w:rFonts w:ascii="Cambria Math" w:hAnsi="Cambria Math" w:eastAsia="Cambria Math" w:cs="Cambria Math"/>
              </w:rPr>
              <m:rPr/>
              <m:t>i</m:t>
            </m:r>
          </m:sub>
        </m:sSub>
        <m:r>
          <w:rPr>
            <w:rFonts w:ascii="Cambria Math" w:hAnsi="Cambria Math" w:eastAsia="Cambria Math" w:cs="Cambria Math"/>
          </w:rPr>
          <m:rPr/>
          <m:t>,</m:t>
        </m:r>
        <m:r>
          <w:rPr>
            <w:rFonts w:ascii="Cambria Math" w:hAnsi="Cambria Math" w:eastAsia="Cambria Math" w:cs="Cambria Math"/>
          </w:rPr>
          <m:rPr/>
          <m:t> i</m:t>
        </m:r>
        <m:r>
          <w:rPr>
            <w:rFonts w:ascii="Cambria Math" w:hAnsi="Cambria Math" w:eastAsia="Cambria Math" w:cs="Cambria Math"/>
          </w:rPr>
          <m:rPr/>
          <m:t>=1,...,k</m:t>
        </m:r>
      </m:oMath>
      <w:r>
        <w:t xml:space="preserve">, the inflection points are times </w:t>
      </w:r>
      <m:oMath>
        <m:sSub>
          <m:sSubPr>
            <m:ctrlPr/>
          </m:sSubPr>
          <m:e>
            <m:r>
              <w:rPr>
                <w:rFonts w:ascii="Cambria Math" w:hAnsi="Cambria Math" w:eastAsia="Cambria Math" w:cs="Cambria Math"/>
              </w:rPr>
              <m:rPr/>
              <m:t>t</m:t>
            </m:r>
          </m:e>
          <m:sub>
            <m:r>
              <w:rPr>
                <w:rFonts w:ascii="Cambria Math" w:hAnsi="Cambria Math" w:eastAsia="Cambria Math" w:cs="Cambria Math"/>
              </w:rPr>
              <m:rPr/>
              <m:t>i</m:t>
            </m:r>
          </m:sub>
        </m:sSub>
      </m:oMath>
      <w:r>
        <w:t xml:space="preserve"> where </w:t>
      </w:r>
      <m:oMath>
        <m:r>
          <m:rPr/>
          <m:t>φ</m:t>
        </m:r>
        <m:r>
          <m:rPr/>
          <m:t>(t)=x</m:t>
        </m:r>
        <m:r>
          <m:rPr/>
          <m:t>′</m:t>
        </m:r>
        <m:d>
          <m:dPr>
            <m:begChr m:val="("/>
            <m:endChr m:val=")"/>
            <m:ctrlPr/>
          </m:dPr>
          <m:e>
            <m:r>
              <w:rPr>
                <w:rFonts w:ascii="Cambria Math" w:hAnsi="Cambria Math" w:eastAsia="Cambria Math" w:cs="Cambria Math"/>
              </w:rPr>
              <m:rPr/>
              <m:t>t</m:t>
            </m:r>
          </m:e>
        </m:d>
        <m:r>
          <m:rPr/>
          <m:t>y′</m:t>
        </m:r>
        <m:r>
          <m:rPr/>
          <m:t>′</m:t>
        </m:r>
        <m:r>
          <m:rPr/>
          <m:t>(t)-x′</m:t>
        </m:r>
        <m:r>
          <m:rPr/>
          <m:t>′</m:t>
        </m:r>
        <m:r>
          <m:rPr/>
          <m:t>(t)y′</m:t>
        </m:r>
        <m:r>
          <m:rPr/>
          <m:t>(t)</m:t>
        </m:r>
      </m:oMath>
      <w:r>
        <w:t xml:space="preserve"> changes sign, i.e., </w:t>
      </w:r>
      <m:oMath>
        <m:r>
          <m:rPr/>
          <m:t>sign(φ</m:t>
        </m:r>
        <m:r>
          <w:rPr>
            <w:rFonts w:ascii="Cambria Math" w:hAnsi="Cambria Math" w:eastAsia="Cambria Math" w:cs="Cambria Math"/>
          </w:rPr>
          <m:rPr/>
          <m:t>(</m:t>
        </m:r>
        <m:sSub>
          <m:sSubPr>
            <m:ctrlPr/>
          </m:sSubPr>
          <m:e>
            <m:r>
              <w:rPr>
                <w:rFonts w:ascii="Cambria Math" w:hAnsi="Cambria Math" w:eastAsia="Cambria Math" w:cs="Cambria Math"/>
              </w:rPr>
              <m:rPr/>
              <m:t>t</m:t>
            </m:r>
          </m:e>
          <m:sub>
            <m:r>
              <w:rPr>
                <w:rFonts w:ascii="Cambria Math" w:hAnsi="Cambria Math" w:eastAsia="Cambria Math" w:cs="Cambria Math"/>
              </w:rPr>
              <m:rPr/>
              <m:t>i</m:t>
            </m:r>
            <m:r>
              <w:rPr>
                <w:rFonts w:ascii="Cambria Math" w:hAnsi="Cambria Math" w:eastAsia="Cambria Math" w:cs="Cambria Math"/>
              </w:rPr>
              <m:rPr/>
              <m:t>-1</m:t>
            </m:r>
          </m:sub>
        </m:sSub>
        <m:r>
          <m:rPr/>
          <m:t>))-sign(φ</m:t>
        </m:r>
        <m:r>
          <w:rPr>
            <w:rFonts w:ascii="Cambria Math" w:hAnsi="Cambria Math" w:eastAsia="Cambria Math" w:cs="Cambria Math"/>
          </w:rPr>
          <m:rPr/>
          <m:t>(</m:t>
        </m:r>
        <m:sSub>
          <m:sSubPr>
            <m:ctrlPr/>
          </m:sSubPr>
          <m:e>
            <m:r>
              <w:rPr>
                <w:rFonts w:ascii="Cambria Math" w:hAnsi="Cambria Math" w:eastAsia="Cambria Math" w:cs="Cambria Math"/>
              </w:rPr>
              <m:rPr/>
              <m:t>t</m:t>
            </m:r>
          </m:e>
          <m:sub>
            <m:r>
              <w:rPr>
                <w:rFonts w:ascii="Cambria Math" w:hAnsi="Cambria Math" w:eastAsia="Cambria Math" w:cs="Cambria Math"/>
              </w:rPr>
              <m:rPr/>
              <m:t>i</m:t>
            </m:r>
          </m:sub>
        </m:sSub>
        <m:r>
          <m:rPr/>
          <m:t>))≠</m:t>
        </m:r>
        <m:r>
          <m:rPr/>
          <m:t>0</m:t>
        </m:r>
      </m:oMath>
      <w:r>
        <w:t xml:space="preserve">. In this work, we used </w:t>
      </w:r>
      <m:oMath>
        <m:r>
          <w:rPr>
            <w:rFonts w:ascii="Cambria Math" w:hAnsi="Cambria Math" w:eastAsia="Cambria Math" w:cs="Cambria Math"/>
          </w:rPr>
          <m:rPr/>
          <m:t>k</m:t>
        </m:r>
        <m:r>
          <w:rPr>
            <w:rFonts w:ascii="Cambria Math" w:hAnsi="Cambria Math" w:eastAsia="Cambria Math" w:cs="Cambria Math"/>
          </w:rPr>
          <m:rPr/>
          <m:t>=30</m:t>
        </m:r>
      </m:oMath>
      <w:r>
        <w:t xml:space="preserve"> and </w:t>
      </w:r>
      <m:oMath>
        <m:sSub>
          <m:sSubPr>
            <m:ctrlPr/>
          </m:sSubPr>
          <m:e>
            <m:r>
              <w:rPr>
                <w:rFonts w:ascii="Cambria Math" w:hAnsi="Cambria Math" w:eastAsia="Cambria Math" w:cs="Cambria Math"/>
              </w:rPr>
              <m:rPr/>
              <m:t>t</m:t>
            </m:r>
          </m:e>
          <m:sub>
            <m:r>
              <w:rPr>
                <w:rFonts w:ascii="Cambria Math" w:hAnsi="Cambria Math" w:eastAsia="Cambria Math" w:cs="Cambria Math"/>
              </w:rPr>
              <m:rPr/>
              <m:t>i</m:t>
            </m:r>
          </m:sub>
        </m:sSub>
        <m:r>
          <w:rPr>
            <w:rFonts w:ascii="Cambria Math" w:hAnsi="Cambria Math" w:eastAsia="Cambria Math" w:cs="Cambria Math"/>
          </w:rPr>
          <m:rPr/>
          <m:t>=</m:t>
        </m:r>
        <m:r>
          <w:rPr>
            <w:rFonts w:ascii="Cambria Math" w:hAnsi="Cambria Math" w:eastAsia="Cambria Math" w:cs="Cambria Math"/>
          </w:rPr>
          <m:rPr/>
          <m:t> i×</m:t>
        </m:r>
        <m:sSup>
          <m:sSupPr>
            <m:ctrlPr/>
          </m:sSupPr>
          <m:e>
            <m:r>
              <w:rPr>
                <w:rFonts w:ascii="Cambria Math" w:hAnsi="Cambria Math" w:eastAsia="Cambria Math" w:cs="Cambria Math"/>
              </w:rPr>
              <m:rPr/>
              <m:t>k</m:t>
            </m:r>
          </m:e>
          <m:sup>
            <m:r>
              <w:rPr>
                <w:rFonts w:ascii="Cambria Math" w:hAnsi="Cambria Math" w:eastAsia="Cambria Math" w:cs="Cambria Math"/>
              </w:rPr>
              <m:rPr/>
              <m:t>-1</m:t>
            </m:r>
          </m:sup>
        </m:sSup>
      </m:oMath>
      <w:r>
        <w:t xml:space="preserve"> to compute the inflection points. Higher sampling rates lead to more inflections points. The start and end points of the curves along with the inflection points form the primary training data-set for the statistical shape model. Because not all segmented curves yield the same amount of inflection points, we up sample the curves by splitting the longest vessel segments in half, repeating as necessary. This results in </w:t>
      </w:r>
      <m:oMath>
        <m:r>
          <w:rPr>
            <w:rFonts w:hint="default" w:ascii="Cambria Math" w:hAnsi="Cambria Math" w:eastAsia="Cambria Math" w:cs="Cambria Math"/>
          </w:rPr>
          <m:rPr>
            <m:sty m:val="i"/>
          </m:rPr>
          <m:t>4</m:t>
        </m:r>
      </m:oMath>
      <w:r>
        <w:t xml:space="preserve"> training sets, one for each arcade, with varying number of training points between sets. All shape in a training sets are aligned using the Kabsch-Umeyama algorithm [1]. Effectively, all shapes are rotated, translated and scaled as to minimise the root-mean-squared deviation between the shapes and their (aligned) mean.</w:t>
      </w:r>
      <w:r>
        <w:rPr>
          <w:rFonts w:ascii="Cambria Math" w:hAnsi="Cambria Math" w:eastAsia="Cambria Math" w:cs="Cambria Math"/>
        </w:rPr>
      </w:r>
    </w:p>
    <w:p>
      <w:pPr>
        <w:pBdr/>
        <w:spacing/>
        <w:ind/>
        <w:rPr>
          <w:rFonts w:ascii="Arial" w:hAnsi="Arial" w:cs="Arial"/>
        </w:rPr>
      </w:pPr>
      <w:r>
        <w:rPr>
          <w:rFonts w:ascii="Arial" w:hAnsi="Arial" w:eastAsia="Arial" w:cs="Arial"/>
        </w:rPr>
        <w:t xml:space="preserve">For arcade vessel </w:t>
      </w:r>
      <m:oMath>
        <m:r>
          <w:rPr>
            <w:rFonts w:hint="default" w:ascii="Cambria Math" w:hAnsi="Cambria Math" w:eastAsia="Cambria Math" w:cs="Cambria Math"/>
          </w:rPr>
          <m:rPr>
            <m:sty m:val="i"/>
          </m:rPr>
          <m:t>j</m:t>
        </m:r>
      </m:oMath>
      <w:r>
        <w:rPr>
          <w:rFonts w:ascii="Arial" w:hAnsi="Arial" w:eastAsia="Arial" w:cs="Arial"/>
        </w:rPr>
        <w:t xml:space="preserve">, with </w:t>
      </w:r>
      <m:oMath>
        <m:sSub>
          <m:sSubPr>
            <m:ctrlPr/>
          </m:sSubPr>
          <m:e>
            <m:r>
              <w:rPr>
                <w:rFonts w:ascii="Cambria Math" w:hAnsi="Cambria Math" w:eastAsia="Cambria Math" w:cs="Cambria Math"/>
              </w:rPr>
              <m:rPr/>
              <m:t>m</m:t>
            </m:r>
          </m:e>
          <m:sub>
            <m:r>
              <w:rPr>
                <w:rFonts w:ascii="Cambria Math" w:hAnsi="Cambria Math" w:eastAsia="Cambria Math" w:cs="Cambria Math"/>
              </w:rPr>
              <m:rPr/>
              <m:t>j</m:t>
            </m:r>
          </m:sub>
        </m:sSub>
      </m:oMath>
      <w:r>
        <w:rPr>
          <w:rFonts w:ascii="Arial" w:hAnsi="Arial" w:eastAsia="Arial" w:cs="Arial"/>
        </w:rPr>
        <w:t xml:space="preserve"> points in each shape, a data matrix </w:t>
      </w:r>
      <w:r>
        <w:rPr>
          <w:rFonts w:ascii="Arial" w:hAnsi="Arial" w:eastAsia="Arial" w:cs="Arial"/>
        </w:rPr>
      </w:r>
      <m:oMath>
        <m:sSub>
          <m:sSubPr>
            <m:ctrlPr/>
          </m:sSubPr>
          <m:e>
            <m:r>
              <w:rPr>
                <w:rFonts w:ascii="Cambria Math" w:hAnsi="Cambria Math" w:eastAsia="Cambria Math" w:cs="Cambria Math"/>
              </w:rPr>
              <m:rPr/>
              <m:t>X</m:t>
            </m:r>
          </m:e>
          <m:sub>
            <m:r>
              <w:rPr>
                <w:rFonts w:ascii="Cambria Math" w:hAnsi="Cambria Math" w:eastAsia="Cambria Math" w:cs="Cambria Math"/>
              </w:rPr>
              <m:rPr/>
              <m:t>j</m:t>
            </m:r>
          </m:sub>
        </m:sSub>
        <m:r>
          <w:rPr>
            <w:rFonts w:ascii="Cambria Math" w:hAnsi="Cambria Math" w:eastAsia="Cambria Math" w:cs="Cambria Math"/>
          </w:rPr>
          <m:rPr/>
          <m:t>∈</m:t>
        </m:r>
        <m:r>
          <w:rPr>
            <w:rFonts w:ascii="Cambria Math" w:hAnsi="Cambria Math" w:eastAsia="Cambria Math" w:cs="Cambria Math"/>
          </w:rPr>
          <m:rPr/>
          <m:t> </m:t>
        </m:r>
        <m:sSup>
          <m:sSupPr>
            <m:ctrlPr/>
          </m:sSupPr>
          <m:e>
            <m:r>
              <m:rPr/>
              <m:t>ℝ</m:t>
            </m:r>
          </m:e>
          <m:sup>
            <m:sSub>
              <m:sSubPr>
                <m:ctrlPr/>
              </m:sSubPr>
              <m:e>
                <m:r>
                  <w:rPr>
                    <w:rFonts w:ascii="Cambria Math" w:hAnsi="Cambria Math" w:eastAsia="Cambria Math" w:cs="Cambria Math"/>
                  </w:rPr>
                  <m:rPr/>
                  <m:t>2m</m:t>
                </m:r>
              </m:e>
              <m:sub>
                <m:r>
                  <w:rPr>
                    <w:rFonts w:ascii="Cambria Math" w:hAnsi="Cambria Math" w:eastAsia="Cambria Math" w:cs="Cambria Math"/>
                  </w:rPr>
                  <m:rPr/>
                  <m:t>j</m:t>
                </m:r>
              </m:sub>
            </m:sSub>
            <m:r>
              <w:rPr>
                <w:rFonts w:ascii="Cambria Math" w:hAnsi="Cambria Math" w:eastAsia="Cambria Math" w:cs="Cambria Math"/>
              </w:rPr>
              <m:rPr/>
              <m:t>,n</m:t>
            </m:r>
          </m:sup>
        </m:sSup>
      </m:oMath>
      <w:r>
        <w:rPr>
          <w:rFonts w:ascii="Arial" w:hAnsi="Arial" w:eastAsia="Arial" w:cs="Arial"/>
        </w:rPr>
        <w:t xml:space="preserve"> is assembled by stacking the curves </w:t>
      </w:r>
      <w:r>
        <w:rPr>
          <w:rFonts w:ascii="Arial" w:hAnsi="Arial" w:eastAsia="Arial" w:cs="Arial"/>
        </w:rPr>
        <w:t xml:space="preserve">row-wise. Denoting </w:t>
      </w:r>
      <m:oMath>
        <m:sSub>
          <m:sSubPr>
            <m:ctrlPr/>
          </m:sSubPr>
          <m:e>
            <m:r>
              <w:rPr>
                <w:rFonts w:ascii="Cambria Math" w:hAnsi="Cambria Math" w:eastAsia="Cambria Math" w:cs="Cambria Math"/>
              </w:rPr>
              <m:rPr/>
              <m:t>(</m:t>
            </m:r>
            <m:r>
              <w:rPr>
                <w:rFonts w:ascii="Cambria Math" w:hAnsi="Cambria Math" w:eastAsia="Cambria Math" w:cs="Cambria Math"/>
              </w:rPr>
              <m:rPr/>
              <m:t>e</m:t>
            </m:r>
          </m:e>
          <m:sub>
            <m:r>
              <w:rPr>
                <w:rFonts w:ascii="Cambria Math" w:hAnsi="Cambria Math" w:eastAsia="Cambria Math" w:cs="Cambria Math"/>
              </w:rPr>
              <m:rPr/>
              <m:t>j,i</m:t>
            </m:r>
          </m:sub>
        </m:sSub>
        <m:sSub>
          <m:sSubPr>
            <m:ctrlPr/>
          </m:sSubPr>
          <m:e>
            <m:r>
              <w:rPr>
                <w:rFonts w:ascii="Cambria Math" w:hAnsi="Cambria Math" w:eastAsia="Cambria Math" w:cs="Cambria Math"/>
              </w:rPr>
              <m:rPr/>
              <m:t>,λ</m:t>
            </m:r>
          </m:e>
          <m:sub>
            <m:r>
              <w:rPr>
                <w:rFonts w:ascii="Cambria Math" w:hAnsi="Cambria Math" w:eastAsia="Cambria Math" w:cs="Cambria Math"/>
              </w:rPr>
              <m:rPr/>
              <m:t>j,i</m:t>
            </m:r>
          </m:sub>
        </m:sSub>
        <m:r>
          <w:rPr>
            <w:rFonts w:ascii="Cambria Math" w:hAnsi="Cambria Math" w:eastAsia="Cambria Math" w:cs="Cambria Math"/>
          </w:rPr>
          <m:rPr/>
          <m:t>)</m:t>
        </m:r>
        <m:r>
          <w:rPr>
            <w:rFonts w:ascii="Cambria Math" w:hAnsi="Cambria Math" w:eastAsia="Cambria Math" w:cs="Cambria Math"/>
          </w:rPr>
          <m:rPr/>
          <m:t> </m:t>
        </m:r>
      </m:oMath>
      <w:r>
        <w:rPr>
          <w:rFonts w:ascii="Arial" w:hAnsi="Arial" w:eastAsia="Arial" w:cs="Arial"/>
        </w:rPr>
        <w:t xml:space="preserve">the eigenvectors and </w:t>
      </w:r>
      <w:r>
        <w:rPr>
          <w:rFonts w:ascii="Arial" w:hAnsi="Arial" w:eastAsia="Arial" w:cs="Arial"/>
        </w:rPr>
        <w:t xml:space="preserve">associated eigenvalues of the Pearson correlation matrix of </w:t>
      </w:r>
      <m:oMath>
        <m:sSub>
          <m:sSubPr>
            <m:ctrlPr/>
          </m:sSubPr>
          <m:e>
            <m:r>
              <w:rPr>
                <w:rFonts w:ascii="Cambria Math" w:hAnsi="Cambria Math" w:eastAsia="Cambria Math" w:cs="Cambria Math"/>
              </w:rPr>
              <m:rPr/>
              <m:t>X</m:t>
            </m:r>
          </m:e>
          <m:sub>
            <m:r>
              <w:rPr>
                <w:rFonts w:ascii="Cambria Math" w:hAnsi="Cambria Math" w:eastAsia="Cambria Math" w:cs="Cambria Math"/>
              </w:rPr>
              <m:rPr/>
              <m:t>j</m:t>
            </m:r>
          </m:sub>
        </m:sSub>
      </m:oMath>
      <w:r>
        <w:rPr>
          <w:rFonts w:ascii="Arial" w:hAnsi="Arial" w:eastAsia="Arial" w:cs="Arial"/>
        </w:rPr>
        <w:t xml:space="preserve">,</w:t>
      </w:r>
      <w:r>
        <w:rPr>
          <w:rFonts w:ascii="Arial" w:hAnsi="Arial" w:eastAsia="Arial" w:cs="Arial"/>
        </w:rPr>
        <w:t xml:space="preserve"> construct </w:t>
      </w:r>
      <m:oMath>
        <m:sSub>
          <m:sSubPr>
            <m:ctrlPr/>
          </m:sSubPr>
          <m:e>
            <m:r>
              <w:rPr>
                <w:rFonts w:ascii="Cambria Math" w:hAnsi="Cambria Math" w:eastAsia="Cambria Math" w:cs="Cambria Math"/>
              </w:rPr>
              <m:rPr/>
              <m:t>P</m:t>
            </m:r>
          </m:e>
          <m:sub>
            <m:r>
              <w:rPr>
                <w:rFonts w:ascii="Cambria Math" w:hAnsi="Cambria Math" w:eastAsia="Cambria Math" w:cs="Cambria Math"/>
              </w:rPr>
              <m:rPr/>
              <m:t>j</m:t>
            </m:r>
          </m:sub>
        </m:sSub>
        <m:r>
          <w:rPr>
            <w:rFonts w:ascii="Cambria Math" w:hAnsi="Cambria Math" w:eastAsia="Cambria Math" w:cs="Cambria Math"/>
          </w:rPr>
          <m:rPr/>
          <m:t>∈</m:t>
        </m:r>
        <m:sSup>
          <m:sSupPr>
            <m:ctrlPr/>
          </m:sSupPr>
          <m:e>
            <m:r>
              <w:rPr>
                <w:rFonts w:ascii="Cambria Math" w:hAnsi="Cambria Math" w:eastAsia="Cambria Math" w:cs="Cambria Math"/>
              </w:rPr>
              <m:rPr/>
              <m:t>ℝ</m:t>
            </m:r>
          </m:e>
          <m:sup>
            <m:sSub>
              <m:sSubPr>
                <m:ctrlPr/>
              </m:sSubPr>
              <m:e>
                <m:r>
                  <w:rPr>
                    <w:rFonts w:ascii="Cambria Math" w:hAnsi="Cambria Math" w:eastAsia="Cambria Math" w:cs="Cambria Math"/>
                  </w:rPr>
                  <m:rPr/>
                  <m:t>2m</m:t>
                </m:r>
              </m:e>
              <m:sub>
                <m:r>
                  <w:rPr>
                    <w:rFonts w:ascii="Cambria Math" w:hAnsi="Cambria Math" w:eastAsia="Cambria Math" w:cs="Cambria Math"/>
                  </w:rPr>
                  <m:rPr/>
                  <m:t>j</m:t>
                </m:r>
              </m:sub>
            </m:sSub>
            <m:sSub>
              <m:sSubPr>
                <m:ctrlPr/>
              </m:sSubPr>
              <m:e>
                <m:r>
                  <w:rPr>
                    <w:rFonts w:ascii="Cambria Math" w:hAnsi="Cambria Math" w:eastAsia="Cambria Math" w:cs="Cambria Math"/>
                  </w:rPr>
                  <m:rPr/>
                  <m:t>,l</m:t>
                </m:r>
              </m:e>
              <m:sub>
                <m:r>
                  <w:rPr>
                    <w:rFonts w:ascii="Cambria Math" w:hAnsi="Cambria Math" w:eastAsia="Cambria Math" w:cs="Cambria Math"/>
                  </w:rPr>
                  <m:rPr/>
                  <m:t>j</m:t>
                </m:r>
              </m:sub>
            </m:sSub>
          </m:sup>
        </m:sSup>
      </m:oMath>
      <w:r>
        <w:rPr>
          <w:rFonts w:ascii="Arial" w:hAnsi="Arial" w:eastAsia="Arial" w:cs="Arial"/>
        </w:rPr>
        <w:t xml:space="preserve"> by stacking the </w:t>
      </w:r>
      <m:oMath>
        <m:sSub>
          <m:sSubPr>
            <m:ctrlPr/>
          </m:sSubPr>
          <m:e>
            <m:r>
              <w:rPr>
                <w:rFonts w:ascii="Cambria Math" w:hAnsi="Cambria Math" w:eastAsia="Cambria Math" w:cs="Cambria Math"/>
              </w:rPr>
              <m:rPr/>
              <m:t>l</m:t>
            </m:r>
          </m:e>
          <m:sub>
            <m:r>
              <w:rPr>
                <w:rFonts w:ascii="Cambria Math" w:hAnsi="Cambria Math" w:eastAsia="Cambria Math" w:cs="Cambria Math"/>
              </w:rPr>
              <m:rPr/>
              <m:t>j</m:t>
            </m:r>
          </m:sub>
        </m:sSub>
      </m:oMath>
      <w:r>
        <w:rPr>
          <w:rFonts w:ascii="Arial" w:hAnsi="Arial" w:eastAsia="Arial" w:cs="Arial"/>
        </w:rPr>
        <w:t xml:space="preserve"> </w:t>
      </w:r>
      <w:r>
        <w:rPr>
          <w:rFonts w:ascii="Arial" w:hAnsi="Arial" w:eastAsia="Arial" w:cs="Arial"/>
        </w:rPr>
        <w:t xml:space="preserve">eigenvectors with the largest eigenvalues column-wise. The number of </w:t>
      </w:r>
      <w:r>
        <w:rPr>
          <w:rFonts w:ascii="Arial" w:hAnsi="Arial" w:eastAsia="Arial" w:cs="Arial"/>
        </w:rPr>
        <w:t xml:space="preserve">modes of variations </w:t>
      </w:r>
      <m:oMath>
        <m:sSub>
          <m:sSubPr>
            <m:ctrlPr/>
          </m:sSubPr>
          <m:e>
            <m:r>
              <w:rPr>
                <w:rFonts w:ascii="Cambria Math" w:hAnsi="Cambria Math" w:eastAsia="Cambria Math" w:cs="Cambria Math"/>
              </w:rPr>
              <m:rPr/>
              <m:t>l</m:t>
            </m:r>
          </m:e>
          <m:sub>
            <m:r>
              <w:rPr>
                <w:rFonts w:ascii="Cambria Math" w:hAnsi="Cambria Math" w:eastAsia="Cambria Math" w:cs="Cambria Math"/>
              </w:rPr>
              <m:rPr/>
              <m:t>j</m:t>
            </m:r>
          </m:sub>
        </m:sSub>
      </m:oMath>
      <w:r>
        <w:rPr>
          <w:rFonts w:ascii="Arial" w:hAnsi="Arial" w:eastAsia="Arial" w:cs="Arial"/>
        </w:rPr>
        <w:t xml:space="preserve"> may be chosen as to explain </w:t>
      </w:r>
      <m:oMath>
        <m:r>
          <w:rPr>
            <w:rFonts w:hint="default" w:ascii="Cambria Math" w:hAnsi="Cambria Math" w:eastAsia="Cambria Math" w:cs="Cambria Math"/>
          </w:rPr>
          <m:rPr>
            <m:sty m:val="i"/>
          </m:rPr>
          <m:t>95</m:t>
        </m:r>
        <m:r>
          <w:rPr>
            <w:rFonts w:ascii="Cambria Math" w:hAnsi="Cambria Math" w:eastAsia="Cambria Math" w:cs="Cambria Math"/>
          </w:rPr>
          <m:rPr/>
          <m:t>%</m:t>
        </m:r>
      </m:oMath>
      <w:r>
        <w:rPr>
          <w:rFonts w:ascii="Arial" w:hAnsi="Arial" w:eastAsia="Arial" w:cs="Arial"/>
        </w:rPr>
        <w:t xml:space="preserve"> of the </w:t>
      </w:r>
      <w:r>
        <w:rPr>
          <w:rFonts w:ascii="Arial" w:hAnsi="Arial" w:eastAsia="Arial" w:cs="Arial"/>
        </w:rPr>
        <w:t xml:space="preserve">variance in the data. Finally, denoting </w:t>
      </w:r>
      <m:oMath>
        <m:acc>
          <m:accPr>
            <m:chr m:val="̅"/>
            <m:ctrlPr>
              <w:rPr>
                <w:rFonts w:hint="default" w:ascii="Cambria Math" w:hAnsi="Cambria Math" w:eastAsia="Cambria Math" w:cs="Cambria Math"/>
                <w:i/>
              </w:rPr>
            </m:ctrlPr>
          </m:accPr>
          <m:e>
            <m:sSub>
              <m:sSubPr>
                <m:ctrlPr>
                  <w:rPr>
                    <w:rFonts w:hint="default" w:ascii="Cambria Math" w:hAnsi="Cambria Math" w:eastAsia="Cambria Math" w:cs="Cambria Math"/>
                  </w:rPr>
                </m:ctrlPr>
              </m:sSubPr>
              <m:e>
                <m:r>
                  <w:rPr>
                    <w:rFonts w:hint="default" w:ascii="Cambria Math" w:hAnsi="Cambria Math" w:eastAsia="Cambria Math" w:cs="Cambria Math"/>
                  </w:rPr>
                  <m:rPr/>
                  <m:t> x</m:t>
                </m:r>
              </m:e>
              <m:sub>
                <m:r>
                  <w:rPr>
                    <w:rFonts w:hint="default" w:ascii="Cambria Math" w:hAnsi="Cambria Math" w:eastAsia="Cambria Math" w:cs="Cambria Math"/>
                  </w:rPr>
                  <m:rPr/>
                  <m:t>j</m:t>
                </m:r>
              </m:sub>
            </m:sSub>
          </m:e>
        </m:acc>
      </m:oMath>
      <w:r>
        <w:rPr>
          <w:rFonts w:ascii="Arial" w:hAnsi="Arial" w:eastAsia="Arial" w:cs="Arial"/>
        </w:rPr>
        <w:t xml:space="preserve"> </w:t>
      </w:r>
      <w:r>
        <w:rPr>
          <w:rFonts w:ascii="Arial" w:hAnsi="Arial" w:eastAsia="Arial" w:cs="Arial"/>
        </w:rPr>
        <w:t xml:space="preserve">the mean of all </w:t>
      </w:r>
      <w:r>
        <w:rPr>
          <w:rFonts w:ascii="Arial" w:hAnsi="Arial" w:eastAsia="Arial" w:cs="Arial"/>
        </w:rPr>
        <w:t xml:space="preserve">shapes, one can create a new, unique shape </w:t>
      </w:r>
      <m:oMath>
        <m:r>
          <w:rPr>
            <w:rFonts w:hint="default" w:ascii="Cambria Math" w:hAnsi="Cambria Math" w:eastAsia="Cambria Math" w:cs="Cambria Math"/>
          </w:rPr>
          <m:rPr/>
          <m:t>x</m:t>
        </m:r>
      </m:oMath>
      <w:r>
        <w:rPr>
          <w:rFonts w:ascii="Arial" w:hAnsi="Arial" w:eastAsia="Arial" w:cs="Arial"/>
        </w:rPr>
        <w:t xml:space="preserve"> using </w:t>
      </w:r>
      <m:oMath>
        <m:r>
          <w:rPr>
            <w:rFonts w:hint="default" w:ascii="Cambria Math" w:hAnsi="Cambria Math" w:eastAsia="Cambria Math" w:cs="Cambria Math"/>
          </w:rPr>
          <m:rPr>
            <m:sty m:val="i"/>
          </m:rPr>
          <m:t>x</m:t>
        </m:r>
        <m:r>
          <w:rPr>
            <w:rFonts w:ascii="Cambria Math" w:hAnsi="Cambria Math" w:eastAsia="Cambria Math" w:cs="Cambria Math"/>
          </w:rPr>
          <m:rPr/>
          <m:t>=</m:t>
        </m:r>
        <m:acc>
          <m:accPr>
            <m:chr m:val="̅"/>
            <m:ctrlPr>
              <w:rPr>
                <w:rFonts w:hint="default" w:ascii="Cambria Math" w:hAnsi="Cambria Math" w:eastAsia="Cambria Math" w:cs="Cambria Math"/>
                <w:i/>
              </w:rPr>
            </m:ctrlPr>
          </m:accPr>
          <m:e>
            <m:sSub>
              <m:sSubPr>
                <m:ctrlPr/>
              </m:sSubPr>
              <m:e>
                <m:r>
                  <w:rPr>
                    <w:rFonts w:ascii="Cambria Math" w:hAnsi="Cambria Math" w:eastAsia="Cambria Math" w:cs="Cambria Math"/>
                  </w:rPr>
                  <m:rPr/>
                  <m:t>x</m:t>
                </m:r>
              </m:e>
              <m:sub>
                <m:r>
                  <w:rPr>
                    <w:rFonts w:ascii="Cambria Math" w:hAnsi="Cambria Math" w:eastAsia="Cambria Math" w:cs="Cambria Math"/>
                  </w:rPr>
                  <m:rPr/>
                  <m:t>j</m:t>
                </m:r>
              </m:sub>
            </m:sSub>
          </m:e>
        </m:acc>
        <m:r>
          <w:rPr>
            <w:rFonts w:ascii="Cambria Math" w:hAnsi="Cambria Math" w:eastAsia="Cambria Math" w:cs="Cambria Math"/>
          </w:rPr>
          <m:rPr/>
          <m:t> </m:t>
        </m:r>
        <m:r>
          <w:rPr>
            <w:rFonts w:ascii="Cambria Math" w:hAnsi="Cambria Math" w:eastAsia="Cambria Math" w:cs="Cambria Math"/>
          </w:rPr>
          <m:rPr/>
          <m:t>+</m:t>
        </m:r>
        <m:sSub>
          <m:sSubPr>
            <m:ctrlPr/>
          </m:sSubPr>
          <m:e>
            <m:r>
              <w:rPr>
                <w:rFonts w:ascii="Cambria Math" w:hAnsi="Cambria Math" w:eastAsia="Cambria Math" w:cs="Cambria Math"/>
              </w:rPr>
              <m:rPr/>
              <m:t> P</m:t>
            </m:r>
          </m:e>
          <m:sub>
            <m:r>
              <w:rPr>
                <w:rFonts w:ascii="Cambria Math" w:hAnsi="Cambria Math" w:eastAsia="Cambria Math" w:cs="Cambria Math"/>
              </w:rPr>
              <m:rPr/>
              <m:t>j</m:t>
            </m:r>
          </m:sub>
        </m:sSub>
        <m:r>
          <w:rPr>
            <w:rFonts w:ascii="Cambria Math" w:hAnsi="Cambria Math" w:eastAsia="Cambria Math" w:cs="Cambria Math"/>
          </w:rPr>
          <m:rPr/>
          <m:t>b</m:t>
        </m:r>
      </m:oMath>
      <w:r>
        <w:rPr>
          <w:rFonts w:ascii="Arial" w:hAnsi="Arial" w:eastAsia="Arial" w:cs="Arial"/>
        </w:rPr>
        <w:t xml:space="preserve"> </w:t>
      </w:r>
      <w:r>
        <w:rPr>
          <w:rFonts w:ascii="Arial" w:hAnsi="Arial" w:eastAsia="Arial" w:cs="Arial"/>
        </w:rPr>
        <w:t xml:space="preserve">where </w:t>
      </w:r>
      <m:oMath>
        <m:r>
          <w:rPr>
            <w:rFonts w:hint="default" w:ascii="Cambria Math" w:hAnsi="Cambria Math" w:eastAsia="Cambria Math" w:cs="Cambria Math"/>
          </w:rPr>
          <m:rPr>
            <m:sty m:val="i"/>
          </m:rPr>
          <m:t>b</m:t>
        </m:r>
      </m:oMath>
      <w:r>
        <w:rPr>
          <w:rFonts w:ascii="Arial" w:hAnsi="Arial" w:eastAsia="Arial" w:cs="Arial"/>
        </w:rPr>
        <w:t xml:space="preserve"> follows a </w:t>
      </w:r>
      <m:oMath>
        <m:sSub>
          <m:sSubPr>
            <m:ctrlPr/>
          </m:sSubPr>
          <m:e>
            <m:r>
              <w:rPr>
                <w:rFonts w:ascii="Cambria Math" w:hAnsi="Cambria Math" w:eastAsia="Cambria Math" w:cs="Cambria Math"/>
              </w:rPr>
              <m:rPr/>
              <m:t>l</m:t>
            </m:r>
          </m:e>
          <m:sub>
            <m:r>
              <w:rPr>
                <w:rFonts w:ascii="Cambria Math" w:hAnsi="Cambria Math" w:eastAsia="Cambria Math" w:cs="Cambria Math"/>
              </w:rPr>
              <m:rPr/>
              <m:t>j</m:t>
            </m:r>
          </m:sub>
        </m:sSub>
      </m:oMath>
      <w:r>
        <w:rPr>
          <w:rFonts w:ascii="Arial" w:hAnsi="Arial" w:eastAsia="Arial" w:cs="Arial"/>
        </w:rPr>
        <w:t xml:space="preserve">-dimensional, centered normal distribution with standard deviation </w:t>
      </w:r>
      <m:oMath>
        <m:r>
          <w:rPr>
            <w:rFonts w:hint="default" w:ascii="Cambria Math" w:hAnsi="Cambria Math" w:eastAsia="Cambria Math" w:cs="Cambria Math"/>
          </w:rPr>
          <m:rPr>
            <m:sty m:val="i"/>
          </m:rPr>
          <m:t>diag(</m:t>
        </m:r>
        <m:sSub>
          <m:sSubPr>
            <m:ctrlPr/>
          </m:sSubPr>
          <m:e>
            <m:r>
              <w:rPr>
                <w:rFonts w:ascii="Cambria Math" w:hAnsi="Cambria Math" w:eastAsia="Cambria Math" w:cs="Cambria Math"/>
              </w:rPr>
              <m:rPr/>
              <m:t>λ</m:t>
            </m:r>
          </m:e>
          <m:sub>
            <m:r>
              <w:rPr>
                <w:rFonts w:ascii="Cambria Math" w:hAnsi="Cambria Math" w:eastAsia="Cambria Math" w:cs="Cambria Math"/>
              </w:rPr>
              <m:rPr/>
              <m:t>j,i</m:t>
            </m:r>
          </m:sub>
        </m:sSub>
        <m:r>
          <w:rPr>
            <w:rFonts w:ascii="Cambria Math" w:hAnsi="Cambria Math" w:eastAsia="Cambria Math" w:cs="Cambria Math"/>
          </w:rPr>
          <m:rPr/>
          <m:t>),</m:t>
        </m:r>
        <m:r>
          <w:rPr>
            <w:rFonts w:ascii="Cambria Math" w:hAnsi="Cambria Math" w:eastAsia="Cambria Math" w:cs="Cambria Math"/>
          </w:rPr>
          <m:rPr/>
          <m:t> i</m:t>
        </m:r>
        <m:r>
          <w:rPr>
            <w:rFonts w:ascii="Cambria Math" w:hAnsi="Cambria Math" w:eastAsia="Cambria Math" w:cs="Cambria Math"/>
          </w:rPr>
          <m:rPr/>
          <m:t>=</m:t>
        </m:r>
        <m:sSub>
          <m:sSubPr>
            <m:ctrlPr/>
          </m:sSubPr>
          <m:e>
            <m:r>
              <w:rPr>
                <w:rFonts w:ascii="Cambria Math" w:hAnsi="Cambria Math" w:eastAsia="Cambria Math" w:cs="Cambria Math"/>
              </w:rPr>
              <m:rPr/>
              <m:t>1,...,l</m:t>
            </m:r>
          </m:e>
          <m:sub>
            <m:r>
              <w:rPr>
                <w:rFonts w:ascii="Cambria Math" w:hAnsi="Cambria Math" w:eastAsia="Cambria Math" w:cs="Cambria Math"/>
              </w:rPr>
              <m:rPr/>
              <m:t>j</m:t>
            </m:r>
          </m:sub>
        </m:sSub>
      </m:oMath>
      <w:r>
        <w:rPr>
          <w:rFonts w:ascii="Arial" w:hAnsi="Arial" w:eastAsia="Arial" w:cs="Arial"/>
        </w:rPr>
        <w:t xml:space="preserve">. </w:t>
      </w:r>
      <w:r>
        <w:rPr>
          <w:rFonts w:ascii="Arial" w:hAnsi="Arial" w:eastAsia="Arial" w:cs="Arial"/>
        </w:rPr>
        <w:t xml:space="preserve">The </w:t>
      </w:r>
      <w:r>
        <w:rPr>
          <w:rFonts w:ascii="Arial" w:hAnsi="Arial" w:eastAsia="Arial" w:cs="Arial"/>
        </w:rPr>
        <w:t xml:space="preserve">resulting </w:t>
      </w:r>
      <m:oMath>
        <m:sSub>
          <m:sSubPr>
            <m:ctrlPr/>
          </m:sSubPr>
          <m:e>
            <m:r>
              <w:rPr>
                <w:rFonts w:ascii="Cambria Math" w:hAnsi="Cambria Math" w:eastAsia="Cambria Math" w:cs="Cambria Math"/>
              </w:rPr>
              <m:rPr/>
              <m:t>m</m:t>
            </m:r>
          </m:e>
          <m:sub>
            <m:r>
              <w:rPr>
                <w:rFonts w:ascii="Cambria Math" w:hAnsi="Cambria Math" w:eastAsia="Cambria Math" w:cs="Cambria Math"/>
              </w:rPr>
              <m:rPr/>
              <m:t>j</m:t>
            </m:r>
          </m:sub>
        </m:sSub>
      </m:oMath>
      <w:r>
        <w:rPr>
          <w:rFonts w:ascii="Arial" w:hAnsi="Arial" w:eastAsia="Arial" w:cs="Arial"/>
        </w:rPr>
        <w:t xml:space="preserve"> points are interpolated using centripetal Catmull-Rom splines [2] before being used in the next steps.   </w:t>
      </w:r>
      <w:r>
        <w:rPr>
          <w:rFonts w:ascii="Cambria Math" w:hAnsi="Cambria Math" w:eastAsia="Cambria Math" w:cs="Cambria Math"/>
        </w:rPr>
        <w:t xml:space="preserve"> </w:t>
      </w:r>
      <w:r/>
      <w:r>
        <w:rPr>
          <w:rFonts w:ascii="Cambria Math" w:hAnsi="Cambria Math" w:eastAsia="Cambria Math" w:cs="Cambria Math"/>
        </w:rPr>
      </w:r>
      <w:r>
        <w:rPr>
          <w:rFonts w:ascii="Cambria Math" w:hAnsi="Cambria Math" w:eastAsia="Cambria Math" w:cs="Cambria Math"/>
        </w:rPr>
      </w:r>
      <w:r>
        <w:rPr>
          <w:rFonts w:ascii="Arial" w:hAnsi="Arial" w:cs="Arial"/>
        </w:rPr>
      </w:r>
    </w:p>
    <w:p>
      <w:pPr>
        <w:pStyle w:val="15"/>
        <w:pBdr/>
        <w:spacing/>
        <w:ind/>
        <w:rPr/>
      </w:pPr>
      <w:r>
        <w:t xml:space="preserve">Uncertainty quantification</w:t>
      </w:r>
      <w:r/>
    </w:p>
    <w:tbl>
      <w:tblPr>
        <w:tblStyle w:val="62"/>
        <w:tblW w:w="0" w:type="auto"/>
        <w:tblBorders/>
        <w:tblLayout w:type="fixed"/>
        <w:tblLook w:val="04A0" w:firstRow="1" w:lastRow="0" w:firstColumn="1" w:lastColumn="0" w:noHBand="0" w:noVBand="1"/>
      </w:tblPr>
      <w:tblGrid>
        <w:gridCol w:w="1612"/>
        <w:gridCol w:w="961"/>
        <w:gridCol w:w="1580"/>
        <w:gridCol w:w="1615"/>
        <w:gridCol w:w="1615"/>
        <w:gridCol w:w="1615"/>
      </w:tblGrid>
      <w:tr>
        <w:trPr>
          <w:trHeight w:val="866"/>
        </w:trPr>
        <w:tc>
          <w:tcPr>
            <w:tcBorders>
              <w:top w:val="single" w:color="000000" w:sz="4" w:space="0"/>
              <w:left w:val="single" w:color="000000" w:sz="4" w:space="0"/>
              <w:bottom w:val="single" w:color="000000" w:sz="4" w:space="0"/>
              <w:right w:val="single" w:color="000000" w:sz="4" w:space="0"/>
            </w:tcBorders>
            <w:tcW w:w="1612" w:type="dxa"/>
            <w:vAlign w:val="center"/>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single" w:color="000000" w:sz="4" w:space="0"/>
              <w:left w:val="single" w:color="000000" w:sz="4" w:space="0"/>
              <w:bottom w:val="single" w:color="000000" w:sz="4" w:space="0"/>
              <w:right w:val="single" w:color="000000" w:sz="4" w:space="0"/>
            </w:tcBorders>
            <w:tcW w:w="961" w:type="dxa"/>
            <w:vAlign w:val="center"/>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gridSpan w:val="2"/>
            <w:tcBorders>
              <w:top w:val="single" w:color="000000" w:sz="4" w:space="0"/>
              <w:left w:val="single" w:color="000000" w:sz="4" w:space="0"/>
              <w:bottom w:val="single" w:color="000000" w:sz="4" w:space="0"/>
              <w:right w:val="single" w:color="000000" w:sz="4" w:space="0"/>
            </w:tcBorders>
            <w:tcW w:w="3195" w:type="dxa"/>
            <w:vAlign w:val="center"/>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Total retinal blood flow </w:t>
              <w:br/>
              <w:t xml:space="preserve">(</w:t>
            </w:r>
            <m:oMath>
              <m:r>
                <w:rPr>
                  <w:rFonts w:hint="default" w:ascii="Cambria Math" w:hAnsi="Cambria Math" w:eastAsia="Cambria Math" w:cs="Cambria Math"/>
                  <w:color w:val="000000"/>
                  <w:sz w:val="24"/>
                  <w:szCs w:val="24"/>
                </w:rPr>
                <m:rPr>
                  <m:sty m:val="i"/>
                </m:rPr>
                <m:t>μL/min</m:t>
              </m:r>
            </m:oMath>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r>
          </w:p>
        </w:tc>
        <w:tc>
          <w:tcPr>
            <w:gridSpan w:val="2"/>
            <w:tcBorders>
              <w:top w:val="single" w:color="000000" w:sz="4" w:space="0"/>
              <w:left w:val="single" w:color="000000" w:sz="4" w:space="0"/>
              <w:bottom w:val="single" w:color="000000" w:sz="4" w:space="0"/>
              <w:right w:val="single" w:color="000000" w:sz="4" w:space="0"/>
            </w:tcBorders>
            <w:tcW w:w="3230" w:type="dxa"/>
            <w:vAlign w:val="center"/>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Macular flow fraction (</w:t>
            </w:r>
            <m:oMath>
              <m:r>
                <w:rPr>
                  <w:rFonts w:ascii="Cambria Math" w:hAnsi="Cambria Math" w:eastAsia="Cambria Math" w:cs="Cambria Math"/>
                </w:rPr>
                <m:rPr/>
                <m:t>%</m:t>
              </m:r>
            </m:oMath>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r>
          </w:p>
        </w:tc>
      </w:tr>
      <w:tr>
        <w:trPr>
          <w:trHeight w:val="548"/>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ℛ</w:t>
            </w:r>
            <w:r>
              <w:rPr>
                <w:rFonts w:ascii="Times New Roman" w:hAnsi="Times New Roman" w:eastAsia="Times New Roman" w:cs="Times New Roman"/>
                <w:color w:val="000000"/>
                <w:sz w:val="24"/>
              </w:rPr>
            </w: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OPP</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mean</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std</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mean</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std</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m:oMathPara>
              <m:oMathParaPr/>
              <m:oMath>
                <m:sSup>
                  <m:sSupPr>
                    <m:ctrlPr/>
                  </m:sSupPr>
                  <m:e>
                    <m:r>
                      <w:rPr>
                        <w:rFonts w:ascii="Cambria Math" w:hAnsi="Cambria Math" w:eastAsia="Cambria Math" w:cs="Cambria Math"/>
                      </w:rPr>
                      <m:rPr/>
                      <m:t>10</m:t>
                    </m:r>
                  </m:e>
                  <m:sup>
                    <m:r>
                      <w:rPr>
                        <w:rFonts w:ascii="Cambria Math" w:hAnsi="Cambria Math" w:eastAsia="Cambria Math" w:cs="Cambria Math"/>
                      </w:rPr>
                      <m:rPr/>
                      <m:t>5</m:t>
                    </m:r>
                  </m:sup>
                </m:sSup>
              </m:oMath>
            </m:oMathPara>
            <w:r>
              <w:rPr>
                <w:rFonts w:ascii="Times New Roman" w:hAnsi="Times New Roman" w:eastAsia="Times New Roman" w:cs="Times New Roman"/>
                <w:color w:val="000000"/>
                <w:sz w:val="24"/>
              </w:rPr>
            </w: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80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17.9</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7.3</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3.2</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22.4</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9.1</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3.2</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26.9</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11.0</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3.2</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m:oMathPara>
              <m:oMathParaPr/>
              <m:oMath>
                <m:sSup>
                  <m:sSupPr>
                    <m:ctrlPr/>
                  </m:sSupPr>
                  <m:e>
                    <m:r>
                      <w:rPr>
                        <w:rFonts w:ascii="Cambria Math" w:hAnsi="Cambria Math" w:eastAsia="Cambria Math" w:cs="Cambria Math"/>
                      </w:rPr>
                      <m:rPr/>
                      <m:t>5×</m:t>
                    </m:r>
                    <m:r>
                      <w:rPr>
                        <w:rFonts w:ascii="Cambria Math" w:hAnsi="Cambria Math" w:eastAsia="Cambria Math" w:cs="Cambria Math"/>
                      </w:rPr>
                      <m:rPr/>
                      <m:t>10</m:t>
                    </m:r>
                  </m:e>
                  <m:sup>
                    <m:r>
                      <w:rPr>
                        <w:rFonts w:ascii="Cambria Math" w:hAnsi="Cambria Math" w:eastAsia="Cambria Math" w:cs="Cambria Math"/>
                      </w:rPr>
                      <m:rPr/>
                      <m:t>5</m:t>
                    </m:r>
                  </m:sup>
                </m:sSup>
              </m:oMath>
            </m:oMathPara>
            <w:r>
              <w:rPr>
                <w:rFonts w:ascii="Times New Roman" w:hAnsi="Times New Roman" w:eastAsia="Times New Roman" w:cs="Times New Roman"/>
                <w:color w:val="000000"/>
                <w:sz w:val="24"/>
              </w:rPr>
            </w: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80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15.3</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5.9</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19.1</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7.3</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23.0</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8.8</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w:t>
            </w:r>
            <w:r/>
          </w:p>
        </w:tc>
      </w:tr>
      <w:tr>
        <w:trPr>
          <w:trHeight w:val="548"/>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m:oMathPara>
              <m:oMathParaPr/>
              <m:oMath>
                <m:sSup>
                  <m:sSupPr>
                    <m:ctrlPr/>
                  </m:sSupPr>
                  <m:e>
                    <m:r>
                      <w:rPr>
                        <w:rFonts w:ascii="Cambria Math" w:hAnsi="Cambria Math" w:eastAsia="Cambria Math" w:cs="Cambria Math"/>
                      </w:rPr>
                      <m:rPr/>
                      <m:t>10</m:t>
                    </m:r>
                  </m:e>
                  <m:sup>
                    <m:r>
                      <w:rPr>
                        <w:rFonts w:ascii="Cambria Math" w:hAnsi="Cambria Math" w:eastAsia="Cambria Math" w:cs="Cambria Math"/>
                      </w:rPr>
                      <m:rPr/>
                      <m:t>6</m:t>
                    </m:r>
                  </m:sup>
                </m:sSup>
              </m:oMath>
            </m:oMathPara>
            <w:r>
              <w:rPr>
                <w:rFonts w:ascii="Times New Roman" w:hAnsi="Times New Roman" w:eastAsia="Times New Roman" w:cs="Times New Roman"/>
                <w:color w:val="000000"/>
                <w:sz w:val="24"/>
              </w:rPr>
            </w: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80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14.0</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5.2</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1.3</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17.5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6.5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1.3</w:t>
            </w:r>
            <w:r/>
          </w:p>
        </w:tc>
      </w:tr>
      <w:tr>
        <w:trPr>
          <w:trHeight w:val="274"/>
        </w:trPr>
        <w:tc>
          <w:tcPr>
            <w:tcBorders>
              <w:top w:val="single" w:color="000000" w:sz="4" w:space="0"/>
              <w:left w:val="single" w:color="000000" w:sz="4" w:space="0"/>
              <w:bottom w:val="single" w:color="000000" w:sz="4" w:space="0"/>
              <w:right w:val="single" w:color="000000" w:sz="4" w:space="0"/>
            </w:tcBorders>
            <w:tcW w:w="1612" w:type="dxa"/>
            <w:vAlign w:val="center"/>
            <w:textDirection w:val="lrTb"/>
            <w:noWrap w:val="false"/>
          </w:tcPr>
          <w:p>
            <w:pPr>
              <w:pBdr/>
              <w:spacing w:after="0" w:before="0" w:line="240"/>
              <w:ind/>
              <w:rPr/>
            </w:pPr>
            <w:r/>
          </w:p>
        </w:tc>
        <w:tc>
          <w:tcPr>
            <w:tcBorders>
              <w:top w:val="single" w:color="000000" w:sz="4" w:space="0"/>
              <w:left w:val="single" w:color="000000" w:sz="4" w:space="0"/>
              <w:bottom w:val="single" w:color="000000" w:sz="4" w:space="0"/>
              <w:right w:val="single" w:color="000000" w:sz="4" w:space="0"/>
            </w:tcBorders>
            <w:tcW w:w="96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120</w:t>
            </w:r>
            <w:r/>
          </w:p>
        </w:tc>
        <w:tc>
          <w:tcPr>
            <w:tcBorders>
              <w:top w:val="single" w:color="000000" w:sz="4" w:space="0"/>
              <w:left w:val="single" w:color="000000" w:sz="4" w:space="0"/>
              <w:bottom w:val="single" w:color="000000" w:sz="4" w:space="0"/>
              <w:right w:val="single" w:color="000000" w:sz="4" w:space="0"/>
            </w:tcBorders>
            <w:tcW w:w="158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20.9</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7.8</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5.5</w:t>
            </w:r>
            <w:r/>
          </w:p>
        </w:tc>
        <w:tc>
          <w:tcPr>
            <w:tcBorders>
              <w:top w:val="single" w:color="000000" w:sz="4" w:space="0"/>
              <w:left w:val="single" w:color="000000" w:sz="4" w:space="0"/>
              <w:bottom w:val="single" w:color="000000" w:sz="4" w:space="0"/>
              <w:right w:val="single" w:color="000000" w:sz="4" w:space="0"/>
            </w:tcBorders>
            <w:tcW w:w="1615"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1.3</w:t>
            </w:r>
            <w:r/>
          </w:p>
        </w:tc>
      </w:tr>
    </w:tbl>
    <w:p>
      <w:pPr>
        <w:pBdr/>
        <w:spacing/>
        <w:ind/>
        <w:rPr/>
      </w:pPr>
      <w:r>
        <w:t xml:space="preserve">Table S1: Results of the 9 scenarios tested for uncertainty quantification.</w:t>
      </w:r>
      <w:r/>
    </w:p>
    <w:tbl>
      <w:tblPr>
        <w:tblStyle w:val="62"/>
        <w:tblW w:w="0" w:type="auto"/>
        <w:tblBorders/>
        <w:tblLayout w:type="fixed"/>
        <w:tblLook w:val="04A0" w:firstRow="1" w:lastRow="0" w:firstColumn="1" w:lastColumn="0" w:noHBand="0" w:noVBand="1"/>
      </w:tblPr>
      <w:tblGrid>
        <w:gridCol w:w="1417"/>
        <w:gridCol w:w="1276"/>
        <w:gridCol w:w="1276"/>
        <w:gridCol w:w="1377"/>
        <w:gridCol w:w="1336"/>
        <w:gridCol w:w="1336"/>
        <w:gridCol w:w="1336"/>
      </w:tblGrid>
      <w:tr>
        <w:trPr/>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Bdr/>
              <w:spacing/>
              <w:ind/>
              <w:rPr/>
            </w:pPr>
            <w:r>
              <w:t xml:space="preserve">Dependent variable</w:t>
            </w:r>
            <w:r/>
          </w:p>
        </w:tc>
        <w:tc>
          <w:tcPr>
            <w:gridSpan w:val="3"/>
            <w:tcBorders>
              <w:top w:val="single" w:color="000000" w:sz="4" w:space="0"/>
              <w:left w:val="single" w:color="000000" w:sz="4" w:space="0"/>
              <w:bottom w:val="single" w:color="000000" w:sz="4" w:space="0"/>
              <w:right w:val="single" w:color="000000" w:sz="4" w:space="0"/>
            </w:tcBorders>
            <w:tcW w:w="3929" w:type="dxa"/>
            <w:textDirection w:val="lrTb"/>
            <w:noWrap w:val="false"/>
          </w:tcPr>
          <w:p>
            <w:pPr>
              <w:pBdr/>
              <w:spacing/>
              <w:ind/>
              <w:jc w:val="center"/>
              <w:rPr/>
            </w:pPr>
            <w:r/>
            <w:r>
              <w:t xml:space="preserve">ℛ</w:t>
            </w:r>
            <w:r/>
            <w:r/>
          </w:p>
        </w:tc>
        <w:tc>
          <w:tcPr>
            <w:gridSpan w:val="3"/>
            <w:tcBorders>
              <w:top w:val="single" w:color="000000" w:sz="4" w:space="0"/>
              <w:left w:val="single" w:color="000000" w:sz="4" w:space="0"/>
              <w:bottom w:val="single" w:color="000000" w:sz="4" w:space="0"/>
              <w:right w:val="single" w:color="000000" w:sz="4" w:space="0"/>
            </w:tcBorders>
            <w:tcW w:w="4009" w:type="dxa"/>
            <w:textDirection w:val="lrTb"/>
            <w:noWrap w:val="false"/>
          </w:tcPr>
          <w:p>
            <w:pPr>
              <w:pBdr/>
              <w:spacing/>
              <w:ind/>
              <w:jc w:val="center"/>
              <w:rPr>
                <w:rFonts w:ascii="Cambria Math" w:hAnsi="Cambria Math" w:eastAsia="Cambria Math" w:cs="Cambria Math"/>
              </w:rPr>
            </w:pPr>
            <w:r/>
            <w:r/>
            <w:r>
              <w:t xml:space="preserve">OPP</w:t>
            </w:r>
            <w:r/>
            <w:r>
              <w:rPr>
                <w:rFonts w:ascii="Cambria Math" w:hAnsi="Cambria Math" w:eastAsia="Cambria Math" w:cs="Cambria Math"/>
              </w:rPr>
            </w:r>
            <w:r/>
            <w:r/>
            <w:r>
              <w:rPr>
                <w:rFonts w:ascii="Cambria Math" w:hAnsi="Cambria Math" w:eastAsia="Cambria Math" w:cs="Cambria Math"/>
              </w:rPr>
            </w:r>
          </w:p>
          <w:p>
            <w:pPr>
              <w:pBdr/>
              <w:spacing/>
              <w:ind/>
              <w:rPr/>
            </w:pPr>
            <w:r/>
            <w:r/>
          </w:p>
        </w:tc>
      </w:tr>
      <w:tr>
        <w:trPr/>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Bdr/>
              <w:spacing/>
              <w:ind/>
              <w:rPr/>
            </w:pPr>
            <w:r>
              <w:t xml:space="preserve">Group</w:t>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pPr>
            <w:r/>
            <m:oMathPara>
              <m:oMathParaPr>
                <m:jc m:val="left"/>
              </m:oMathParaPr>
              <m:oMath>
                <m:r>
                  <w:rPr>
                    <w:rFonts w:hint="default" w:ascii="Cambria Math" w:hAnsi="Cambria Math" w:eastAsia="Cambria Math" w:cs="Cambria Math"/>
                  </w:rPr>
                  <m:rPr>
                    <m:sty m:val="i"/>
                  </m:rPr>
                  <m:t>OPP</m:t>
                </m:r>
                <m:r>
                  <w:rPr>
                    <w:rFonts w:ascii="Cambria Math" w:hAnsi="Cambria Math" w:eastAsia="Cambria Math" w:cs="Cambria Math"/>
                  </w:rPr>
                  <m:rPr/>
                  <m:t>=80</m:t>
                </m:r>
              </m:oMath>
            </m:oMathPara>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rFonts w:ascii="Cambria Math" w:hAnsi="Cambria Math" w:eastAsia="Cambria Math" w:cs="Cambria Math"/>
              </w:rPr>
            </w:pPr>
            <w:r/>
            <m:oMathPara>
              <m:oMathParaPr/>
              <m:oMath>
                <m:r>
                  <w:rPr>
                    <w:rFonts w:hint="default" w:ascii="Cambria Math" w:hAnsi="Cambria Math" w:eastAsia="Cambria Math" w:cs="Cambria Math"/>
                  </w:rPr>
                  <m:rPr>
                    <m:sty m:val="i"/>
                  </m:rPr>
                  <m:t>OPP</m:t>
                </m:r>
                <m:r>
                  <w:rPr>
                    <w:rFonts w:ascii="Cambria Math" w:hAnsi="Cambria Math" w:eastAsia="Cambria Math" w:cs="Cambria Math"/>
                  </w:rPr>
                  <m:rPr/>
                  <m:t>=100</m:t>
                </m:r>
              </m:oMath>
            </m:oMathPara>
            <w:r/>
            <w:r/>
            <w:r/>
            <w:r/>
            <w:r>
              <w:rPr>
                <w:rFonts w:ascii="Cambria Math" w:hAnsi="Cambria Math" w:eastAsia="Cambria Math" w:cs="Cambria Math"/>
              </w:rPr>
            </w:r>
          </w:p>
        </w:tc>
        <w:tc>
          <w:tcPr>
            <w:tcBorders>
              <w:top w:val="single" w:color="000000" w:sz="4" w:space="0"/>
              <w:left w:val="single" w:color="000000" w:sz="4" w:space="0"/>
              <w:bottom w:val="single" w:color="000000" w:sz="4" w:space="0"/>
              <w:right w:val="single" w:color="000000" w:sz="4" w:space="0"/>
            </w:tcBorders>
            <w:tcW w:w="1377" w:type="dxa"/>
            <w:textDirection w:val="lrTb"/>
            <w:noWrap w:val="false"/>
          </w:tcPr>
          <w:p>
            <w:pPr>
              <w:pBdr/>
              <w:spacing/>
              <w:ind/>
              <w:rPr/>
            </w:pPr>
            <w:r/>
            <m:oMathPara>
              <m:oMathParaPr/>
              <m:oMath>
                <m:r>
                  <w:rPr>
                    <w:rFonts w:hint="default" w:ascii="Cambria Math" w:hAnsi="Cambria Math" w:eastAsia="Cambria Math" w:cs="Cambria Math"/>
                  </w:rPr>
                  <m:rPr>
                    <m:sty m:val="i"/>
                  </m:rPr>
                  <m:t>OPP</m:t>
                </m:r>
                <m:r>
                  <w:rPr>
                    <w:rFonts w:ascii="Cambria Math" w:hAnsi="Cambria Math" w:eastAsia="Cambria Math" w:cs="Cambria Math"/>
                  </w:rPr>
                  <m:rPr/>
                  <m:t>=120</m:t>
                </m:r>
              </m:oMath>
            </m:oMathPara>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m:oMathPara>
              <m:oMathParaPr/>
              <m:oMath>
                <m:r>
                  <w:rPr>
                    <w:rFonts w:hint="default" w:ascii="Cambria Math" w:hAnsi="Cambria Math" w:eastAsia="Cambria Math" w:cs="Cambria Math"/>
                  </w:rPr>
                  <m:rPr>
                    <m:sty m:val="i"/>
                  </m:rPr>
                  <m:t>R</m:t>
                </m:r>
                <m:r>
                  <w:rPr>
                    <w:rFonts w:ascii="Cambria Math" w:hAnsi="Cambria Math" w:eastAsia="Cambria Math" w:cs="Cambria Math"/>
                  </w:rPr>
                  <m:rPr/>
                  <m:t>=</m:t>
                </m:r>
                <m:sSup>
                  <m:sSupPr>
                    <m:ctrlPr/>
                  </m:sSupPr>
                  <m:e>
                    <m:r>
                      <w:rPr>
                        <w:rFonts w:ascii="Cambria Math" w:hAnsi="Cambria Math" w:eastAsia="Cambria Math" w:cs="Cambria Math"/>
                      </w:rPr>
                      <m:rPr/>
                      <m:t>10</m:t>
                    </m:r>
                  </m:e>
                  <m:sup>
                    <m:r>
                      <w:rPr>
                        <w:rFonts w:ascii="Cambria Math" w:hAnsi="Cambria Math" w:eastAsia="Cambria Math" w:cs="Cambria Math"/>
                      </w:rPr>
                      <m:rPr/>
                      <m:t>5</m:t>
                    </m:r>
                  </m:sup>
                </m:sSup>
              </m:oMath>
            </m:oMathPara>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m:oMathPara>
              <m:oMathParaPr/>
              <m:oMath>
                <m:r>
                  <w:rPr>
                    <w:rFonts w:hint="default" w:ascii="Cambria Math" w:hAnsi="Cambria Math" w:eastAsia="Cambria Math" w:cs="Cambria Math"/>
                  </w:rPr>
                  <m:rPr>
                    <m:sty m:val="i"/>
                  </m:rPr>
                  <m:t>R</m:t>
                </m:r>
                <m:r>
                  <w:rPr>
                    <w:rFonts w:ascii="Cambria Math" w:hAnsi="Cambria Math" w:eastAsia="Cambria Math" w:cs="Cambria Math"/>
                  </w:rPr>
                  <m:rPr/>
                  <m:t>=5×</m:t>
                </m:r>
                <m:sSup>
                  <m:sSupPr>
                    <m:ctrlPr/>
                  </m:sSupPr>
                  <m:e>
                    <m:r>
                      <w:rPr>
                        <w:rFonts w:ascii="Cambria Math" w:hAnsi="Cambria Math" w:eastAsia="Cambria Math" w:cs="Cambria Math"/>
                      </w:rPr>
                      <m:rPr/>
                      <m:t>10</m:t>
                    </m:r>
                  </m:e>
                  <m:sup>
                    <m:r>
                      <w:rPr>
                        <w:rFonts w:ascii="Cambria Math" w:hAnsi="Cambria Math" w:eastAsia="Cambria Math" w:cs="Cambria Math"/>
                      </w:rPr>
                      <m:rPr/>
                      <m:t>5</m:t>
                    </m:r>
                  </m:sup>
                </m:sSup>
              </m:oMath>
            </m:oMathPara>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m:oMathPara>
              <m:oMathParaPr/>
              <m:oMath>
                <m:r>
                  <w:rPr>
                    <w:rFonts w:hint="default" w:ascii="Cambria Math" w:hAnsi="Cambria Math" w:eastAsia="Cambria Math" w:cs="Cambria Math"/>
                  </w:rPr>
                  <m:rPr>
                    <m:sty m:val="i"/>
                  </m:rPr>
                  <m:t>R</m:t>
                </m:r>
                <m:r>
                  <w:rPr>
                    <w:rFonts w:ascii="Cambria Math" w:hAnsi="Cambria Math" w:eastAsia="Cambria Math" w:cs="Cambria Math"/>
                  </w:rPr>
                  <m:rPr/>
                  <m:t>=</m:t>
                </m:r>
                <m:sSup>
                  <m:sSupPr>
                    <m:ctrlPr/>
                  </m:sSupPr>
                  <m:e>
                    <m:r>
                      <w:rPr>
                        <w:rFonts w:ascii="Cambria Math" w:hAnsi="Cambria Math" w:eastAsia="Cambria Math" w:cs="Cambria Math"/>
                      </w:rPr>
                      <m:rPr/>
                      <m:t>10</m:t>
                    </m:r>
                  </m:e>
                  <m:sup>
                    <m:r>
                      <w:rPr>
                        <w:rFonts w:ascii="Cambria Math" w:hAnsi="Cambria Math" w:eastAsia="Cambria Math" w:cs="Cambria Math"/>
                      </w:rPr>
                      <m:rPr/>
                      <m:t>6</m:t>
                    </m:r>
                  </m:sup>
                </m:sSup>
              </m:oMath>
            </m:oMathPara>
            <w:r/>
            <w:r/>
          </w:p>
        </w:tc>
      </w:tr>
      <w:tr>
        <w:trPr/>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Bdr/>
              <w:spacing/>
              <w:ind/>
              <w:rPr/>
            </w:pPr>
            <w:r>
              <w:t xml:space="preserve">Total retinal blood flow</w:t>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pPr>
            <w:r>
              <w:t xml:space="preserve">0.82</w:t>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pPr>
            <w:r>
              <w:t xml:space="preserve">0.82</w:t>
            </w:r>
            <w:r/>
          </w:p>
        </w:tc>
        <w:tc>
          <w:tcPr>
            <w:tcBorders>
              <w:top w:val="single" w:color="000000" w:sz="4" w:space="0"/>
              <w:left w:val="single" w:color="000000" w:sz="4" w:space="0"/>
              <w:bottom w:val="single" w:color="000000" w:sz="4" w:space="0"/>
              <w:right w:val="single" w:color="000000" w:sz="4" w:space="0"/>
            </w:tcBorders>
            <w:tcW w:w="1377" w:type="dxa"/>
            <w:textDirection w:val="lrTb"/>
            <w:noWrap w:val="false"/>
          </w:tcPr>
          <w:p>
            <w:pPr>
              <w:pBdr/>
              <w:spacing/>
              <w:ind/>
              <w:rPr/>
            </w:pPr>
            <w:r>
              <w:t xml:space="preserve">0.82</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0.89</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1.00</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0.99</w:t>
            </w:r>
            <w:r/>
          </w:p>
        </w:tc>
      </w:tr>
      <w:tr>
        <w:trPr/>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Bdr/>
              <w:spacing/>
              <w:ind/>
              <w:rPr/>
            </w:pPr>
            <w:r>
              <w:t xml:space="preserve">Macular flow fraction</w:t>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pPr>
            <w:r>
              <w:t xml:space="preserve">0.93</w:t>
            </w: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rPr/>
            </w:pPr>
            <w:r>
              <w:t xml:space="preserve">0.93</w:t>
            </w:r>
            <w:r/>
          </w:p>
        </w:tc>
        <w:tc>
          <w:tcPr>
            <w:tcBorders>
              <w:top w:val="single" w:color="000000" w:sz="4" w:space="0"/>
              <w:left w:val="single" w:color="000000" w:sz="4" w:space="0"/>
              <w:bottom w:val="single" w:color="000000" w:sz="4" w:space="0"/>
              <w:right w:val="single" w:color="000000" w:sz="4" w:space="0"/>
            </w:tcBorders>
            <w:tcW w:w="1377" w:type="dxa"/>
            <w:textDirection w:val="lrTb"/>
            <w:noWrap w:val="false"/>
          </w:tcPr>
          <w:p>
            <w:pPr>
              <w:pBdr/>
              <w:spacing/>
              <w:ind/>
              <w:rPr/>
            </w:pPr>
            <w:r>
              <w:t xml:space="preserve">0.93</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0.0</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0.00</w:t>
            </w:r>
            <w:r/>
          </w:p>
        </w:tc>
        <w:tc>
          <w:tcPr>
            <w:tcBorders>
              <w:top w:val="single" w:color="000000" w:sz="4" w:space="0"/>
              <w:left w:val="single" w:color="000000" w:sz="4" w:space="0"/>
              <w:bottom w:val="single" w:color="000000" w:sz="4" w:space="0"/>
              <w:right w:val="single" w:color="000000" w:sz="4" w:space="0"/>
            </w:tcBorders>
            <w:tcW w:w="1336" w:type="dxa"/>
            <w:textDirection w:val="lrTb"/>
            <w:noWrap w:val="false"/>
          </w:tcPr>
          <w:p>
            <w:pPr>
              <w:pBdr/>
              <w:spacing/>
              <w:ind/>
              <w:rPr/>
            </w:pPr>
            <w:r>
              <w:t xml:space="preserve">0.00</w:t>
            </w:r>
            <w:r/>
          </w:p>
        </w:tc>
      </w:tr>
    </w:tbl>
    <w:p>
      <w:pPr>
        <w:pBdr/>
        <w:spacing/>
        <w:ind/>
        <w:rPr/>
      </w:pPr>
      <w:r>
        <w:t xml:space="preserve">Table S2: Pearson’s </w:t>
      </w:r>
      <m:oMath>
        <m:sSup>
          <m:sSupPr>
            <m:ctrlPr/>
          </m:sSupPr>
          <m:e>
            <m:r>
              <w:rPr>
                <w:rFonts w:ascii="Cambria Math" w:hAnsi="Cambria Math" w:eastAsia="Cambria Math" w:cs="Cambria Math"/>
              </w:rPr>
              <m:rPr/>
              <m:t>R</m:t>
            </m:r>
          </m:e>
          <m:sup>
            <m:r>
              <w:rPr>
                <w:rFonts w:ascii="Cambria Math" w:hAnsi="Cambria Math" w:eastAsia="Cambria Math" w:cs="Cambria Math"/>
              </w:rPr>
              <m:rPr/>
              <m:t>2</m:t>
            </m:r>
          </m:sup>
        </m:sSup>
      </m:oMath>
      <w:r>
        <w:t xml:space="preserve"> scores testing linear association between </w:t>
      </w:r>
      <w:r>
        <w:t xml:space="preserve">ℛ</w:t>
      </w:r>
      <w:r>
        <w:t xml:space="preserve"> and </w:t>
      </w:r>
      <m:oMath>
        <m:r>
          <w:rPr>
            <w:rFonts w:hint="default" w:ascii="Cambria Math" w:hAnsi="Cambria Math" w:eastAsia="Cambria Math" w:cs="Cambria Math"/>
          </w:rPr>
          <m:rPr>
            <m:sty m:val="i"/>
          </m:rPr>
          <m:t>OPP</m:t>
        </m:r>
      </m:oMath>
      <w:r>
        <w:t xml:space="preserve"> for the 9 scenarios tested for uncertainty quantification.</w:t>
      </w:r>
      <w:r/>
    </w:p>
    <w:p>
      <w:pPr>
        <w:pBdr/>
        <w:spacing/>
        <w:ind/>
        <w:rPr/>
      </w:pPr>
      <w:r/>
      <w:r/>
    </w:p>
    <w:p>
      <w:pPr>
        <w:pStyle w:val="15"/>
        <w:pBdr/>
        <w:spacing/>
        <w:ind/>
        <w:rPr>
          <w:rFonts w:ascii="Cambria Math" w:hAnsi="Cambria Math" w:eastAsia="Cambria Math" w:cs="Cambria Math"/>
        </w:rPr>
      </w:pPr>
      <w:r>
        <w:rPr>
          <w:highlight w:val="none"/>
        </w:rPr>
        <w:t xml:space="preserve">References</w:t>
      </w:r>
      <w:r>
        <w:rPr>
          <w:highlight w:val="none"/>
        </w:rPr>
      </w:r>
    </w:p>
    <w:p>
      <w:pPr>
        <w:pBdr/>
        <w:spacing/>
        <w:ind/>
        <w:rPr>
          <w:highlight w:val="none"/>
        </w:rPr>
      </w:pPr>
      <w:r>
        <w:t xml:space="preserve">[1] </w:t>
      </w:r>
      <w:r/>
      <w:r>
        <w:t xml:space="preserve">S. Umeyama. Least-squares estimation of transformation parameters between two point</w:t>
      </w:r>
      <w:r>
        <w:t xml:space="preserve"> </w:t>
      </w:r>
      <w:r/>
      <w:r>
        <w:t xml:space="preserve">patterns. </w:t>
      </w:r>
      <w:r>
        <w:rPr>
          <w:i/>
          <w:iCs/>
        </w:rPr>
        <w:t xml:space="preserve">IEEE Trans Pattern Anal Mach Intell</w:t>
      </w:r>
      <w:r>
        <w:t xml:space="preserve">, 13(4):376–380, 1991.</w:t>
      </w:r>
      <w:r/>
      <w:r/>
      <w:r/>
      <w:r/>
      <w:r/>
    </w:p>
    <w:p>
      <w:pPr>
        <w:pBdr/>
        <w:spacing/>
        <w:ind/>
        <w:rPr>
          <w:highlight w:val="none"/>
        </w:rPr>
      </w:pPr>
      <w:r>
        <w:rPr>
          <w:highlight w:val="none"/>
        </w:rPr>
        <w:t xml:space="preserve">[2] E. Catmull and R. Rom. A Class of Local Interpolating Splines. </w:t>
      </w:r>
      <w:r>
        <w:rPr>
          <w:i/>
          <w:iCs/>
          <w:highlight w:val="none"/>
        </w:rPr>
        <w:t xml:space="preserve">In Computer Aided</w:t>
      </w:r>
      <w:r>
        <w:rPr>
          <w:i/>
          <w:iCs/>
        </w:rPr>
      </w:r>
      <w:r>
        <w:rPr>
          <w:i/>
          <w:iCs/>
          <w:highlight w:val="none"/>
        </w:rPr>
      </w:r>
      <w:r>
        <w:rPr>
          <w:i/>
          <w:iCs/>
        </w:rPr>
      </w:r>
      <w:r>
        <w:rPr>
          <w:i/>
          <w:iCs/>
          <w:highlight w:val="none"/>
        </w:rPr>
        <w:t xml:space="preserve"> Geometric Design</w:t>
      </w:r>
      <w:r>
        <w:rPr>
          <w:highlight w:val="none"/>
        </w:rPr>
        <w:t xml:space="preserve">, pages 317–326. Elsevier, 1974.</w:t>
      </w:r>
      <w:r/>
      <w:r>
        <w:rPr>
          <w:highlight w:val="none"/>
        </w:rPr>
      </w:r>
      <w:r>
        <w:rPr>
          <w:highlight w:val="none"/>
        </w:rPr>
      </w:r>
      <w:r>
        <w:rPr>
          <w:bCs/>
          <w:i/>
          <w:highlight w:val="none"/>
        </w:rPr>
      </w:r>
    </w:p>
    <w:p>
      <w:pPr>
        <w:pBdr/>
        <w:spacing/>
        <w:ind/>
        <w:rPr>
          <w:bCs/>
          <w:i/>
          <w:highlight w:val="none"/>
        </w:rPr>
      </w:pPr>
      <w:r>
        <w:rPr>
          <w:highlight w:val="none"/>
        </w:rPr>
      </w:r>
      <w:r>
        <w:rPr>
          <w:highlight w:val="none"/>
        </w:rPr>
      </w:r>
    </w:p>
    <w:sectPr>
      <w:foot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Math">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2023-11-23T12:35:50Z</dcterms:modified>
</cp:coreProperties>
</file>