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Make an information handling plan teaching script</w:t>
      </w:r>
    </w:p>
    <w:p>
      <w:pPr/>
      <w:r>
        <w:t>SWP-031 | Module 2 | Version 1.1.0</w:t>
      </w:r>
    </w:p>
    <w:p>
      <w:pPr/>
      <w:r>
        <w:t>This is a written lesson plan and narration script, not a recorded video. The facilitator should rehearse timing, provide accessible captions if recording, and verify local procedures before delivery.</w:t>
      </w:r>
    </w:p>
    <w:p>
      <w:pPr>
        <w:pStyle w:val="Heading1"/>
      </w:pPr>
      <w:r>
        <w:t>Learning purpose</w:t>
      </w:r>
    </w:p>
    <w:p>
      <w:pPr/>
      <w:r>
        <w:t>Design a proportionate information-handling plan and identify when local governance advice is required.</w:t>
      </w:r>
    </w:p>
    <w:p>
      <w:pPr/>
      <w:r>
        <w:t>Use the laws, professional scope, organisational policies and approved referral routes that apply to your setting. This course is educational and does not replace urgent safeguarding, clinical or legal procedures. All worked cases are fictional. Research notes distinguish published findings from SWEEP teaching examples.</w:t>
      </w:r>
    </w:p>
    <w:p>
      <w:pPr>
        <w:pStyle w:val="Heading1"/>
      </w:pPr>
      <w:r>
        <w:t>Opening narration</w:t>
      </w:r>
    </w:p>
    <w:p>
      <w:pPr/>
      <w:r>
        <w:t>This lesson examines how to design a proportionate information-handling plan and identify when local governance advice is required.</w:t>
      </w:r>
    </w:p>
    <w:p>
      <w:pPr>
        <w:pStyle w:val="Heading1"/>
      </w:pPr>
      <w:r>
        <w:t>Core narration</w:t>
      </w:r>
    </w:p>
    <w:p>
      <w:pPr/>
      <w:r>
        <w:t>Start with the task and justify each field. A booking form needs enough information to arrange contact; it does not automatically need a detailed account of the person's circumstances. For each information item, identify its purpose, authorised viewers, storage location, sharing route and applicable retention decision. Refer uncertain legal grounds or retention questions to the responsible local lead. Do not infer that a signed form authorises every future use.</w:t>
      </w:r>
    </w:p>
    <w:p>
      <w:pPr/>
      <w:r>
        <w:t>Explain communication choices in language the person understands and check any expressed uncertainty. Before sharing, confirm both the recipient and the necessary contents: an approved system can still send information to the wrong person. If an incident is suspected, use the organisation's reporting route promptly, preserve relevant facts and follow authorised containment instructions. Do not hide the incident or invent a notification deadline. The privacy lead must determine the applicable duties and exceptions.</w:t>
      </w:r>
    </w:p>
    <w:p>
      <w:pPr>
        <w:pStyle w:val="Heading1"/>
      </w:pPr>
      <w:r>
        <w:t>Worked example narration</w:t>
      </w:r>
    </w:p>
    <w:p>
      <w:pPr/>
      <w:r>
        <w:t>Fictional worked example: the booking team removes a required family-history field. It keeps a preferred contact route and practical access needs, restricts staff access by role, and asks its governance lead to approve the retention schedule before launch.</w:t>
      </w:r>
    </w:p>
    <w:p>
      <w:pPr>
        <w:pStyle w:val="Heading1"/>
      </w:pPr>
      <w:r>
        <w:t>Pause for learner activity</w:t>
      </w:r>
    </w:p>
    <w:p>
      <w:pPr/>
      <w:r>
        <w:t>Write a five-field information register for booking. For each field give the purpose and authorised audience; mark any retention or legal question for local review.</w:t>
      </w:r>
    </w:p>
    <w:p>
      <w:pPr/>
      <w:r>
        <w:t>Pause for a written response or discussion. Do not present private case information on screen.</w:t>
      </w:r>
    </w:p>
    <w:p>
      <w:pPr>
        <w:pStyle w:val="Heading1"/>
      </w:pPr>
      <w:r>
        <w:t>Debrief narration</w:t>
      </w:r>
    </w:p>
    <w:p>
      <w:pPr/>
      <w:r>
        <w:t>Necessary booking information is separated from casework records. The answer states who must resolve uncertain rules and explains recipient checks and the incident-reporting route.</w:t>
      </w:r>
    </w:p>
    <w:p>
      <w:pPr>
        <w:pStyle w:val="Heading1"/>
      </w:pPr>
      <w:r>
        <w:t>Decision point recap</w:t>
      </w:r>
    </w:p>
    <w:p>
      <w:pPr/>
      <w:r>
        <w:t>Before collecting information, specify its purpose, who needs it, how it is protected and which locally approved retention rules apply.</w:t>
      </w:r>
    </w:p>
    <w:p>
      <w:pPr/>
      <w:r>
        <w:t>Consent discussions should explain the channel's use, foreseeable privacy limitations and available alternatives in understandable language.</w:t>
      </w:r>
    </w:p>
    <w:p>
      <w:pPr/>
      <w:r>
        <w:t>An approved channel must still be used appropriately: check the intended recipient and share only necessary information.</w:t>
      </w:r>
    </w:p>
    <w:p>
      <w:pPr/>
      <w:r>
        <w:t>A suspected information incident needs prompt action through the organisation's incident route; preserve relevant facts and follow containment instructions.</w:t>
      </w:r>
    </w:p>
    <w:p>
      <w:pPr/>
      <w:r>
        <w:t>Retention periods and exceptions require applicable policy and legal review; neither indefinite retention nor immediate deletion is a universal rule.</w:t>
      </w:r>
    </w:p>
    <w:p>
      <w:pPr>
        <w:pStyle w:val="Heading1"/>
      </w:pPr>
      <w:r>
        <w:t>Recording plan</w:t>
      </w:r>
    </w:p>
    <w:p>
      <w:pPr/>
      <w:r>
        <w:t>Show the lesson title, a short decision sequence and the fictional example. Read key visual information aloud. Separate the activity from the debrief and make pauses editable. Check names, acronyms and captions manually; do not claim a video exists until a recording has been produced.</w:t>
      </w:r>
    </w:p>
    <w:p>
      <w:pPr>
        <w:pStyle w:val="Heading1"/>
      </w:pPr>
      <w:r>
        <w:t>Sources and evidence limits</w:t>
      </w:r>
    </w:p>
    <w:p>
      <w:pPr/>
      <w:r>
        <w:t>[R1] Kvakic, M., and Larsson, K. K. (2024). Caseworkers on the digital streets: Discretion in the digital decision-making process. Journal of Comparative Social Work, 19(1), 13-40. https://doi.org/10.31265/jcsw.v19i1.624</w:t>
      </w:r>
    </w:p>
    <w:p>
      <w:pPr/>
      <w:r>
        <w:t>[S1] NASW and ASWB. Standards for Technology in Social Work Practice. https://www.socialworkers.org/Practice/NASW-Practice-Standards-Guidelines/Standards-for-Technology-in-Social-Work-Practice</w:t>
      </w:r>
    </w:p>
    <w:p>
      <w:pPr/>
      <w:r>
        <w:t>[S4] IFSW (2018). Global Social Work Statement of Ethical Principles. https://www.ifsw.org/global-social-work-statement-of-ethical-principles/</w:t>
      </w:r>
    </w:p>
    <w:p>
      <w:pPr/>
      <w:r>
        <w:t>The index record is a discovery aid, not a guarantee of quality. Read the source before applying its findings to a different setting. No article endorses this course.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40"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 an information handling plan teaching 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