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professional judgement accountable teaching script</w:t>
      </w:r>
    </w:p>
    <w:p>
      <w:pPr/>
      <w:r>
        <w:t>SWP-031 | Module 3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Recognise unsuitable digital practice and maintain accountable human judgement when using AI assistance.</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recognise unsuitable digital practice and maintain accountable human judgement when using AI assistance.</w:t>
      </w:r>
    </w:p>
    <w:p>
      <w:pPr>
        <w:pStyle w:val="Heading1"/>
      </w:pPr>
      <w:r>
        <w:t>Core narration</w:t>
      </w:r>
    </w:p>
    <w:p>
      <w:pPr/>
      <w:r>
        <w:t>A remote appointment is a service arrangement, not just a connection. Check whether the setting and channel are suitable, explain relevant privacy limits and agree what happens if the connection fails. Use approved local procedures for urgent concerns; a remote session must not become a reason to delay required action. Revisit suitability when circumstances change.</w:t>
      </w:r>
    </w:p>
    <w:p>
      <w:pPr/>
      <w:r>
        <w:t>Treat an automated summary as a draft that may contain unsupported statements or omit relevant context. Use only an authorised workflow for sensitive information, compare the draft with verified records and document substantive corrections. Partial name removal may leave a person identifiable through other details. Before relying on automated prioritisation, examine errors and who could be disadvantaged, not only average performance. Record the reasons for the professional decision and the advice sought. The worker's responsibility is not transferred to a tool.</w:t>
      </w:r>
    </w:p>
    <w:p>
      <w:pPr>
        <w:pStyle w:val="Heading1"/>
      </w:pPr>
      <w:r>
        <w:t>Worked example narration</w:t>
      </w:r>
    </w:p>
    <w:p>
      <w:pPr/>
      <w:r>
        <w:t>Fictional worked example: an authorised summarisation tool changes 'requested information about a referral' into 'referral completed'. The worker checks the source notes, corrects the draft, records the correction and raises the recurrent error with the service lead before wider use.</w:t>
      </w:r>
    </w:p>
    <w:p>
      <w:pPr>
        <w:pStyle w:val="Heading1"/>
      </w:pPr>
      <w:r>
        <w:t>Pause for learner activity</w:t>
      </w:r>
    </w:p>
    <w:p>
      <w:pPr/>
      <w:r>
        <w:t>Write a verification checklist for an automated appointment summary, and a fallback plan for an unsuitable or disconnected remote appointment.</w:t>
      </w:r>
    </w:p>
    <w:p>
      <w:pPr/>
      <w:r>
        <w:t>Pause for a written response or discussion. Do not present private case information on screen.</w:t>
      </w:r>
    </w:p>
    <w:p>
      <w:pPr>
        <w:pStyle w:val="Heading1"/>
      </w:pPr>
      <w:r>
        <w:t>Debrief narration</w:t>
      </w:r>
    </w:p>
    <w:p>
      <w:pPr/>
      <w:r>
        <w:t>The checklist verifies statements against sources, checks omissions, protects case information, identifies a responsible human and defines a safe local fallback.</w:t>
      </w:r>
    </w:p>
    <w:p>
      <w:pPr>
        <w:pStyle w:val="Heading1"/>
      </w:pPr>
      <w:r>
        <w:t>Decision point recap</w:t>
      </w:r>
    </w:p>
    <w:p>
      <w:pPr/>
      <w:r>
        <w:t>Telepractice needs a suitability and privacy check plus an agreed response to connection loss or urgent concerns, adapted to the service and local procedures.</w:t>
      </w:r>
    </w:p>
    <w:p>
      <w:pPr/>
      <w:r>
        <w:t>Check AI-generated statements against reliable case information; an AI draft is not a verified record or an accountable decision-maker.</w:t>
      </w:r>
    </w:p>
    <w:p>
      <w:pPr/>
      <w:r>
        <w:t>Do not enter identifiable case material into an unapproved AI service; use authorised tools and information-governance procedures.</w:t>
      </w:r>
    </w:p>
    <w:p>
      <w:pPr/>
      <w:r>
        <w:t>Review differential effects and error patterns before relying on an automated recommendation; average performance can hide exclusion.</w:t>
      </w:r>
    </w:p>
    <w:p>
      <w:pPr/>
      <w:r>
        <w:t>A professional should be able to explain and document the reasons for a decision, including how an AI suggestion was checked and when advice was sought.</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[R1] Kvakic, M., and Larsson, K. K. (2024). Caseworkers on the digital streets: Discretion in the digital decision-making process. Journal of Comparative Social Work, 19(1), 13-40. https://doi.org/10.31265/jcsw.v19i1.624</w:t>
      </w:r>
    </w:p>
    <w:p>
      <w:pPr/>
      <w:r>
        <w:t>[S1] NASW and ASWB. Standards for Technology in Social Work Practice. https://www.socialworkers.org/Practice/NASW-Practice-Standards-Guidelines/Standards-for-Technology-in-Social-Work-Practice</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professional judgement accountable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