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Social Work Practice practice worksheet</w:t>
      </w:r>
    </w:p>
    <w:p>
      <w:pPr/>
      <w:r>
        <w:t>SWP-031 | Version 1.1.0 | SWEEP Academy</w:t>
      </w:r>
    </w:p>
    <w:p>
      <w:pPr/>
      <w:r>
        <w:t>Apply all three lessons to the fictional case below. Do not use identifiable service-user information. Write a reasoned plan that makes uncertainty and decision authority explicit.</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Practice case</w:t>
      </w:r>
    </w:p>
    <w:p>
      <w:pPr/>
      <w:r>
        <w:t>A neighbourhood advice service wants to replace its walk-in queue with a web booking system. Some residents use library computers, some need audio instructions, and others work shifts. Staff want to use automated summaries to reduce paperwork. Design a service pathway that preserves access, privacy and accountable decisions.</w:t>
      </w:r>
    </w:p>
    <w:p>
      <w:pPr>
        <w:pStyle w:val="Heading2"/>
      </w:pPr>
      <w:r>
        <w:t>Activity 1</w:t>
      </w:r>
    </w:p>
    <w:p>
      <w:pPr/>
      <w:r>
        <w:t>Draw two booking routes for the service. Identify one barrier at each step and propose a way to test it without using identifiable case material.</w:t>
      </w:r>
    </w:p>
    <w:p>
      <w:pPr>
        <w:spacing w:after="2400"/>
      </w:pPr>
      <w:r>
        <w:t>Write your response here</w:t>
      </w:r>
    </w:p>
    <w:p>
      <w:r>
        <w:br w:type="page"/>
      </w:r>
    </w:p>
    <w:p>
      <w:pPr>
        <w:pStyle w:val="Heading2"/>
      </w:pPr>
      <w:r>
        <w:t>Activity 2</w:t>
      </w:r>
    </w:p>
    <w:p>
      <w:pPr/>
      <w:r>
        <w:t>Write a five-field information register for booking. For each field give the purpose and authorised audience; mark any retention or legal question for local review.</w:t>
      </w:r>
    </w:p>
    <w:p>
      <w:pPr>
        <w:spacing w:after="2400"/>
      </w:pPr>
      <w:r>
        <w:t>Write your response here</w:t>
      </w:r>
    </w:p>
    <w:p>
      <w:pPr>
        <w:pStyle w:val="Heading2"/>
      </w:pPr>
      <w:r>
        <w:t>Activity 3</w:t>
      </w:r>
    </w:p>
    <w:p>
      <w:pPr/>
      <w:r>
        <w:t>Write a verification checklist for an automated appointment summary, and a fallback plan for an unsuitable or disconnected remote appointment.</w:t>
      </w:r>
    </w:p>
    <w:p>
      <w:pPr>
        <w:spacing w:after="2400"/>
      </w:pPr>
      <w:r>
        <w:t>Write your response here</w:t>
      </w:r>
    </w:p>
    <w:p>
      <w:r>
        <w:br w:type="page"/>
      </w:r>
    </w:p>
    <w:p>
      <w:pPr>
        <w:pStyle w:val="Heading1"/>
      </w:pPr>
      <w:r>
        <w:t>Self assessment and facilitator discussion</w:t>
      </w:r>
    </w:p>
    <w:p>
      <w:pPr/>
      <w:r>
        <w:t>For each activity, use 0 for missing reasoning, 1 for a partly justified response and 2 for a justified response with relevant safeguards and limits. This is a formative rubric, not the platform's certification score.</w:t>
      </w:r>
    </w:p>
    <w:p>
      <w:pPr>
        <w:pStyle w:val="Heading2"/>
      </w:pPr>
      <w:r>
        <w:t>Activity 1 criteria</w:t>
      </w:r>
    </w:p>
    <w:p>
      <w:pPr/>
      <w:r>
        <w:t>A strong response preserves resident choice, tests actual tasks, gives the assisted route a comparable opportunity, and names both a completion measure and a feedback method.</w:t>
      </w:r>
    </w:p>
    <w:p>
      <w:pPr>
        <w:pStyle w:val="Heading2"/>
      </w:pPr>
      <w:r>
        <w:t>Activity 2 criteria</w:t>
      </w:r>
    </w:p>
    <w:p>
      <w:pPr/>
      <w:r>
        <w:t>Necessary booking information is separated from casework records. The answer states who must resolve uncertain rules and explains recipient checks and the incident-reporting route.</w:t>
      </w:r>
    </w:p>
    <w:p>
      <w:pPr>
        <w:pStyle w:val="Heading2"/>
      </w:pPr>
      <w:r>
        <w:t>Activity 3 criteria</w:t>
      </w:r>
    </w:p>
    <w:p>
      <w:pPr/>
      <w:r>
        <w:t>The checklist verifies statements against sources, checks omissions, protects case information, identifies a responsible human and defines a safe local fallback.</w:t>
      </w:r>
    </w:p>
    <w:p>
      <w:pPr>
        <w:pStyle w:val="Heading2"/>
      </w:pPr>
      <w:r>
        <w:t>Next learning step</w:t>
      </w:r>
    </w:p>
    <w:p>
      <w:pPr/>
      <w:r>
        <w:t>Identify one assumption you changed and one procedure you must verify locally. Explain who can resolve it before you apply the plan in practice.</w:t>
      </w:r>
    </w:p>
    <w:p>
      <w:pPr>
        <w:pStyle w:val="Heading1"/>
      </w:pPr>
      <w:r>
        <w:t>Sources and evidence limits</w:t>
      </w:r>
    </w:p>
    <w:p>
      <w:pPr/>
      <w:r>
        <w:t>[R1] Kvakic, M., and Larsson, K. K. (2024). Caseworkers on the digital streets: Discretion in the digital decision-making process. Journal of Comparative Social Work, 19(1), 13-40. https://doi.org/10.31265/jcsw.v19i1.624</w:t>
      </w:r>
    </w:p>
    <w:p>
      <w:pPr/>
      <w:r>
        <w:t>[S1] NASW and ASWB. Standards for Technology in Social Work Practice. https://www.socialworkers.org/Practice/NASW-Practice-Standards-Guidelines/Standards-for-Technology-in-Social-Work-Practice</w:t>
      </w:r>
    </w:p>
    <w:p>
      <w:pPr/>
      <w:r>
        <w:t>[S4] IFSW (2018). Global Social Work Statement of Ethical Principles. https://www.ifsw.org/global-social-work-statement-of-ethical-principles/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Social Work Practice practice worksheet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