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 unequal risk and existing capacity teaching script</w:t>
      </w:r>
    </w:p>
    <w:p>
      <w:pPr/>
      <w:r>
        <w:t>SWP-032 | Module 1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Distinguish a climate hazard from unequal exposure, vulnerability and capacity to respond.</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distinguish a climate hazard from unequal exposure, vulnerability and capacity to respond.</w:t>
      </w:r>
    </w:p>
    <w:p>
      <w:pPr>
        <w:pStyle w:val="Heading1"/>
      </w:pPr>
      <w:r>
        <w:t>Core narration</w:t>
      </w:r>
    </w:p>
    <w:p>
      <w:pPr/>
      <w:r>
        <w:t>Separate the physical hazard from who or what is exposed and the conditions that affect people's ability to respond. A flood map can help locate exposure but does not reveal every barrier to evacuation, income security or access to care. Combine appropriate technical information with residents' accounts. Record the source, date and uncertainty of each statement. Do not attribute a particular event to climate change without suitable specialist evidence.</w:t>
      </w:r>
    </w:p>
    <w:p>
      <w:pPr/>
      <w:r>
        <w:t>Map strengths alongside constraints: neighbours, local organisations, transport arrangements and knowledge can inform planning. Ask whose views are missing from meetings and offer accessible ways to contribute before choices are fixed. If relocation is discussed, investigate effects on livelihoods, services and relationships, as well as physical safety. Moving people is not in itself evidence that a fair or workable outcome has been achieved.</w:t>
      </w:r>
    </w:p>
    <w:p>
      <w:pPr>
        <w:pStyle w:val="Heading1"/>
      </w:pPr>
      <w:r>
        <w:t>Worked example narration</w:t>
      </w:r>
    </w:p>
    <w:p>
      <w:pPr/>
      <w:r>
        <w:t>Fictional worked example: the project map shows two streets with similar flood exposure. Residents identify different transport access and work schedules. Planners record these differences and invite missing groups to discuss options rather than treating a single meeting as representative.</w:t>
      </w:r>
    </w:p>
    <w:p>
      <w:pPr>
        <w:pStyle w:val="Heading1"/>
      </w:pPr>
      <w:r>
        <w:t>Pause for learner activity</w:t>
      </w:r>
    </w:p>
    <w:p>
      <w:pPr/>
      <w:r>
        <w:t>Create a risk-and-capacity map in words for the riverside case. Separate observed information, resident accounts and questions requiring technical advice.</w:t>
      </w:r>
    </w:p>
    <w:p>
      <w:pPr/>
      <w:r>
        <w:t>Pause for a written response or discussion. Do not present private case information on screen.</w:t>
      </w:r>
    </w:p>
    <w:p>
      <w:pPr>
        <w:pStyle w:val="Heading1"/>
      </w:pPr>
      <w:r>
        <w:t>Debrief narration</w:t>
      </w:r>
    </w:p>
    <w:p>
      <w:pPr/>
      <w:r>
        <w:t>The map includes both capacities and barriers, missing voices and source uncertainty. It avoids unsupported event attribution and does not equate attendance with representation.</w:t>
      </w:r>
    </w:p>
    <w:p>
      <w:pPr>
        <w:pStyle w:val="Heading1"/>
      </w:pPr>
      <w:r>
        <w:t>Decision point recap</w:t>
      </w:r>
    </w:p>
    <w:p>
      <w:pPr/>
      <w:r>
        <w:t>A hazard map does not fully describe social risk: exposure, housing, livelihood dependence and capacity to respond can differ within the same area.</w:t>
      </w:r>
    </w:p>
    <w:p>
      <w:pPr/>
      <w:r>
        <w:t>Do not describe communities only through deficits; identify local knowledge, mutual support and resources alongside constraints.</w:t>
      </w:r>
    </w:p>
    <w:p>
      <w:pPr/>
      <w:r>
        <w:t>Displacement-related planning must consider access to livelihoods, services, relationships and meaningful participation; moving people is not itself proof of a just outcome.</w:t>
      </w:r>
    </w:p>
    <w:p>
      <w:pPr/>
      <w:r>
        <w:t>Participation records should identify whose perspectives are missing, not equate attendance with representation.</w:t>
      </w:r>
    </w:p>
    <w:p>
      <w:pPr/>
      <w:r>
        <w:t>Separate observed local impacts from explanations that need specialist evidence; avoid attributing every individual event to climate change without support.</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[R2] Cwikel, J. (2025). Social work for a greener planet: reframing social work skills and education to mitigate the climate crisis. Cogent Social Sciences. https://doi.org/10.1080/23311886.2024.2444469</w:t>
      </w:r>
    </w:p>
    <w:p>
      <w:pPr/>
      <w:r>
        <w:t>[S3] IPCC (2023). AR6 Synthesis Report Summary for Policymakers. https://www.ipcc.ch/report/ar6/syr/summary-for-policymakers/</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unequal risk and existing capacity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