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Compare options over their whole life teaching script</w:t>
      </w:r>
    </w:p>
    <w:p>
      <w:pPr/>
      <w:r>
        <w:t>SWP-032 | Module 2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Compare adaptation options with communities, including accessibility, maintenance and unintended consequences.</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compare adaptation options with communities, including accessibility, maintenance and unintended consequences.</w:t>
      </w:r>
    </w:p>
    <w:p>
      <w:pPr>
        <w:pStyle w:val="Heading1"/>
      </w:pPr>
      <w:r>
        <w:t>Core narration</w:t>
      </w:r>
    </w:p>
    <w:p>
      <w:pPr/>
      <w:r>
        <w:t>Co-design requires room to change the proposal. Explain what decisions are still open, which constraints are real and who can authorise changes. Compare alternatives using agreed criteria such as accessibility, disruption, maintenance, responsible ownership and possible harm elsewhere. Do not reduce the comparison to initial cost or attendance at a consultation.</w:t>
      </w:r>
    </w:p>
    <w:p>
      <w:pPr/>
      <w:r>
        <w:t>An option that protects one location can impose burdens on another. Ask who may lose access, time or income and seek technical advice about effects beyond the site. Consider the operating life: a facility without a workable maintenance plan may not remain useful. When resident experience and technical advice differ, document the difference and investigate it. Neither automatic dismissal of local knowledge nor unsupported rejection of expertise provides a sound decision.</w:t>
      </w:r>
    </w:p>
    <w:p>
      <w:pPr>
        <w:pStyle w:val="Heading1"/>
      </w:pPr>
      <w:r>
        <w:t>Worked example narration</w:t>
      </w:r>
    </w:p>
    <w:p>
      <w:pPr/>
      <w:r>
        <w:t>Fictional worked example: residents support the raised centre but identify an inaccessible approach route. The team revises the access design, checks its feasibility with qualified advisers and identifies responsibility for maintaining the route before treating the option as ready.</w:t>
      </w:r>
    </w:p>
    <w:p>
      <w:pPr>
        <w:pStyle w:val="Heading1"/>
      </w:pPr>
      <w:r>
        <w:t>Pause for learner activity</w:t>
      </w:r>
    </w:p>
    <w:p>
      <w:pPr/>
      <w:r>
        <w:t>Compare two options from the course case against access, burden distribution, upkeep and decision authority. State what evidence is still needed.</w:t>
      </w:r>
    </w:p>
    <w:p>
      <w:pPr/>
      <w:r>
        <w:t>Pause for a written response or discussion. Do not present private case information on screen.</w:t>
      </w:r>
    </w:p>
    <w:p>
      <w:pPr>
        <w:pStyle w:val="Heading1"/>
      </w:pPr>
      <w:r>
        <w:t>Debrief narration</w:t>
      </w:r>
    </w:p>
    <w:p>
      <w:pPr/>
      <w:r>
        <w:t>The comparison explains trade-offs and who bears them, includes operating responsibilities, and leaves unresolved technical questions open rather than inventing answers.</w:t>
      </w:r>
    </w:p>
    <w:p>
      <w:pPr>
        <w:pStyle w:val="Heading1"/>
      </w:pPr>
      <w:r>
        <w:t>Decision point recap</w:t>
      </w:r>
    </w:p>
    <w:p>
      <w:pPr/>
      <w:r>
        <w:t>Co-design begins while choices can still change; consultation after a fixed design offers limited influence.</w:t>
      </w:r>
    </w:p>
    <w:p>
      <w:pPr/>
      <w:r>
        <w:t>An adaptation option may reduce one risk while shifting burdens elsewhere; assess who benefits and who may be harmed.</w:t>
      </w:r>
    </w:p>
    <w:p>
      <w:pPr/>
      <w:r>
        <w:t>Accessible services need usable routes, communication and support; a nominal facility is not enough if intended users cannot reach or use it.</w:t>
      </w:r>
    </w:p>
    <w:p>
      <w:pPr/>
      <w:r>
        <w:t>Compare adaptation options over their operating life, including responsibility and resources for upkeep.</w:t>
      </w:r>
    </w:p>
    <w:p>
      <w:pPr/>
      <w:r>
        <w:t>Combine appropriate technical advice with community knowledge; conflicting accounts should prompt investigation rather than automatic dismissal.</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[R2] Cwikel, J. (2025). Social work for a greener planet: reframing social work skills and education to mitigate the climate crisis. Cogent Social Sciences. https://doi.org/10.1080/23311886.2024.2444469</w:t>
      </w:r>
    </w:p>
    <w:p>
      <w:pPr/>
      <w:r>
        <w:t>[S3] IPCC (2023). AR6 Synthesis Report Summary for Policymakers. https://www.ipcc.ch/report/ar6/syr/summary-for-policymakers/</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options over their whole life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