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Clarify authority before acting teaching script</w:t>
      </w:r>
    </w:p>
    <w:p>
      <w:pPr/>
      <w:r>
        <w:t>SWP-033 | Module 1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Clarify decision authority, conflicts of interest and accountability in programme teams.</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clarify decision authority, conflicts of interest and accountability in programme teams.</w:t>
      </w:r>
    </w:p>
    <w:p>
      <w:pPr>
        <w:pStyle w:val="Heading1"/>
      </w:pPr>
      <w:r>
        <w:t>Core narration</w:t>
      </w:r>
    </w:p>
    <w:p>
      <w:pPr/>
      <w:r>
        <w:t>Delegation should explain which decisions a worker can make, the limits, the available support and when to seek approval. Being responsible for a programme does not confer every specialist competence. Distinguish routine coordination from decisions reserved for a qualified practitioner, budget holder or governing body. Record authority alongside the reasons for a decision so another person can understand how it was made.</w:t>
      </w:r>
    </w:p>
    <w:p>
      <w:pPr/>
      <w:r>
        <w:t>Invite relevant perspectives before the choice is settled. Record significant disagreement and how it was considered; uniform-looking minutes are not proof of inclusion. A personal or financial interest can compromise trust even if the person believes they can remain impartial. Disclose the interest and follow the organisation's independent decision process. Do not quietly resolve the issue by giving yourself permission or asking only people who benefit from the proposal.</w:t>
      </w:r>
    </w:p>
    <w:p>
      <w:pPr>
        <w:pStyle w:val="Heading1"/>
      </w:pPr>
      <w:r>
        <w:t>Worked example narration</w:t>
      </w:r>
    </w:p>
    <w:p>
      <w:pPr/>
      <w:r>
        <w:t>Fictional worked example: the manager declares the supplier connection before procurement decisions. An authorised independent person handles the selection under policy. The record identifies the decision owner, criteria, reasons and review point rather than simply stating that the team agreed.</w:t>
      </w:r>
    </w:p>
    <w:p>
      <w:pPr>
        <w:pStyle w:val="Heading1"/>
      </w:pPr>
      <w:r>
        <w:t>Pause for learner activity</w:t>
      </w:r>
    </w:p>
    <w:p>
      <w:pPr/>
      <w:r>
        <w:t>Write a short delegation note for the outreach coordinator. Include one permitted decision, one limit, a support contact and an escalation route.</w:t>
      </w:r>
    </w:p>
    <w:p>
      <w:pPr/>
      <w:r>
        <w:t>Pause for a written response or discussion. Do not present private case information on screen.</w:t>
      </w:r>
    </w:p>
    <w:p>
      <w:pPr>
        <w:pStyle w:val="Heading1"/>
      </w:pPr>
      <w:r>
        <w:t>Debrief narration</w:t>
      </w:r>
    </w:p>
    <w:p>
      <w:pPr/>
      <w:r>
        <w:t>Authority is explicit and bounded. The response separates management authority from specialist competence and describes a transparent conflict-of-interest process.</w:t>
      </w:r>
    </w:p>
    <w:p>
      <w:pPr>
        <w:pStyle w:val="Heading1"/>
      </w:pPr>
      <w:r>
        <w:t>Decision point recap</w:t>
      </w:r>
    </w:p>
    <w:p>
      <w:pPr/>
      <w:r>
        <w:t>Delegation should state the decision scope, constraints, support and escalation route; it is not unlimited transfer of responsibility.</w:t>
      </w:r>
    </w:p>
    <w:p>
      <w:pPr/>
      <w:r>
        <w:t>When personal interests could influence a decision, disclose the conflict and use the organisation's independent decision process.</w:t>
      </w:r>
    </w:p>
    <w:p>
      <w:pPr/>
      <w:r>
        <w:t>Record the decision, its reasons, authority, owner and review point; minutes that only say 'agreed' do not establish accountability.</w:t>
      </w:r>
    </w:p>
    <w:p>
      <w:pPr/>
      <w:r>
        <w:t>Invite relevant perspectives before decisions and explain how disagreement was handled; inclusion is more than unanimous-looking minutes.</w:t>
      </w:r>
    </w:p>
    <w:p>
      <w:pPr/>
      <w:r>
        <w:t>Authority to manage a programme does not automatically confer competence or permission to perform specialist professional tasks.</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[R3] Viscu, L.-I., and Marici, M. (2024). Challenges in supervising social workers. International Journal of Social and Educational Innovation, 11(22), 81-94. https://zenodo.org/records/14246369</w:t>
      </w:r>
    </w:p>
    <w:p>
      <w:pPr/>
      <w:r>
        <w:t>[S2] NASW and ASWB. Best Practice Standards in Social Work Supervision. https://www.socialworkers.org/Practice/NASW-Practice-Standards-Guidelines/Best-Practice-Standards-in-Social-Work-Supervision</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Clarify authority before acting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