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 supervision for reflection and safe action teaching script</w:t>
      </w:r>
    </w:p>
    <w:p>
      <w:pPr/>
      <w:r>
        <w:t>SWP-033 | Module 2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Use structured supervision to support learning, wellbeing and safe escalation.</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use structured supervision to support learning, wellbeing and safe escalation.</w:t>
      </w:r>
    </w:p>
    <w:p>
      <w:pPr>
        <w:pStyle w:val="Heading1"/>
      </w:pPr>
      <w:r>
        <w:t>Core narration</w:t>
      </w:r>
    </w:p>
    <w:p>
      <w:pPr/>
      <w:r>
        <w:t>A supervision agreement should make purpose, roles, frequency, records and confidentiality limits clear. Use it to distinguish administrative oversight, learning and support. Reflective discussion starts with a specific situation: what happened, what was observed, what was assumed and how emotions affected the response. Explore alternatives and agree a learning action with a review point. Reflection is not a substitute for immediate safeguarding or incident action.</w:t>
      </w:r>
    </w:p>
    <w:p>
      <w:pPr/>
      <w:r>
        <w:t>Give feedback about observable behaviour and its effect, then invite the worker's account before deciding an improvement. Avoid treating all difficulties as personal resilience failures. Repeated overload can reflect workload allocation, task design, staffing or unclear priorities. Review these conditions within managerial authority and escalate what cannot safely be resolved. Supervision supports professional work; it does not authorise practice outside competence or replace specialist care.</w:t>
      </w:r>
    </w:p>
    <w:p>
      <w:pPr>
        <w:pStyle w:val="Heading1"/>
      </w:pPr>
      <w:r>
        <w:t>Worked example narration</w:t>
      </w:r>
    </w:p>
    <w:p>
      <w:pPr/>
      <w:r>
        <w:t>Fictional worked example: a worker misses follow-up tasks after extra sessions are added. The supervisor reviews the actual demands, hears the worker's account and agrees a manageable priority plan. The manager reviews capacity rather than only recommending a wellbeing exercise.</w:t>
      </w:r>
    </w:p>
    <w:p>
      <w:pPr>
        <w:pStyle w:val="Heading1"/>
      </w:pPr>
      <w:r>
        <w:t>Pause for learner activity</w:t>
      </w:r>
    </w:p>
    <w:p>
      <w:pPr/>
      <w:r>
        <w:t>Prepare a supervision agenda for the outreach case with a reflection question, a specific feedback observation, an agreed action and an urgent-issue route.</w:t>
      </w:r>
    </w:p>
    <w:p>
      <w:pPr/>
      <w:r>
        <w:t>Pause for a written response or discussion. Do not present private case information on screen.</w:t>
      </w:r>
    </w:p>
    <w:p>
      <w:pPr>
        <w:pStyle w:val="Heading1"/>
      </w:pPr>
      <w:r>
        <w:t>Debrief narration</w:t>
      </w:r>
    </w:p>
    <w:p>
      <w:pPr/>
      <w:r>
        <w:t>The agenda balances learning and support with accountability, tests assumptions, addresses work design and does not postpone urgent concerns until the next meeting.</w:t>
      </w:r>
    </w:p>
    <w:p>
      <w:pPr>
        <w:pStyle w:val="Heading1"/>
      </w:pPr>
      <w:r>
        <w:t>Decision point recap</w:t>
      </w:r>
    </w:p>
    <w:p>
      <w:pPr/>
      <w:r>
        <w:t>A supervision agreement should clarify purpose, roles, regularity, records, confidentiality limits and routes for urgent concerns.</w:t>
      </w:r>
    </w:p>
    <w:p>
      <w:pPr/>
      <w:r>
        <w:t>Reflective supervision explores observations, assumptions, emotions and alternatives, then agrees a learning action; it is more than checking task counts.</w:t>
      </w:r>
    </w:p>
    <w:p>
      <w:pPr/>
      <w:r>
        <w:t>Supportive supervision does not replace urgent safeguarding or incident procedures; use the appropriate route without waiting for a scheduled session.</w:t>
      </w:r>
    </w:p>
    <w:p>
      <w:pPr/>
      <w:r>
        <w:t>Feedback should identify specific behaviour and its effect, invite the worker's perspective, and agree a feasible improvement and review.</w:t>
      </w:r>
    </w:p>
    <w:p>
      <w:pPr/>
      <w:r>
        <w:t>Repeated overload is a work-design issue to review as well as an individual support concern; consider case demands, resources and safe priorities.</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[R3] Viscu, L.-I., and Marici, M. (2024). Challenges in supervising social workers. International Journal of Social and Educational Innovation, 11(22), 81-94. https://zenodo.org/records/14246369</w:t>
      </w:r>
    </w:p>
    <w:p>
      <w:pPr/>
      <w:r>
        <w:t>[S2] NASW and ASWB. Best Practice Standards in Social Work Supervision. https://www.socialworkers.org/Practice/NASW-Practice-Standards-Guidelines/Best-Practice-Standards-in-Social-Work-Supervision</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supervision for reflection and safe action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