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 delivery and learn from variation teaching script</w:t>
      </w:r>
    </w:p>
    <w:p>
      <w:pPr/>
      <w:r>
        <w:t>SWP-033 | Module 3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Use delivery information to manage risks, resources and authorised programme adjustments.</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use delivery information to manage risks, resources and authorised programme adjustments.</w:t>
      </w:r>
    </w:p>
    <w:p>
      <w:pPr>
        <w:pStyle w:val="Heading1"/>
      </w:pPr>
      <w:r>
        <w:t>Core narration</w:t>
      </w:r>
    </w:p>
    <w:p>
      <w:pPr/>
      <w:r>
        <w:t>Compare the intended plan with actual delivery before deciding why a difference occurred. A missed target may involve access barriers, unavailable staff or an unrealistic assumption; the count alone cannot identify the cause. Keep an issue record with the impact, action owner, next step and review date. Distinguish outputs, such as sessions held, from outcomes, such as whether participants obtained the intended support.</w:t>
      </w:r>
    </w:p>
    <w:p>
      <w:pPr/>
      <w:r>
        <w:t>When a change is needed, state what will change, the expected effect, the resources and the safety implications. Check delegated limits before committing funds or altering scope. Define a review criterion that could show the change is not working. Learning requires a traceable adjustment, not silently redefining the target after results arrive. Use appropriate participant feedback with delivery information, and report uncertainty rather than promising that more activity necessarily creates better outcomes.</w:t>
      </w:r>
    </w:p>
    <w:p>
      <w:pPr>
        <w:pStyle w:val="Heading1"/>
      </w:pPr>
      <w:r>
        <w:t>Worked example narration</w:t>
      </w:r>
    </w:p>
    <w:p>
      <w:pPr/>
      <w:r>
        <w:t>Fictional worked example: the team has delivered more sessions but referral delays remain. It investigates the referral pathway and proposes a limited scheduling adjustment. The authorised manager approves a bounded trial with an owner and review date; the team tracks delays alongside session counts.</w:t>
      </w:r>
    </w:p>
    <w:p>
      <w:pPr>
        <w:pStyle w:val="Heading1"/>
      </w:pPr>
      <w:r>
        <w:t>Pause for learner activity</w:t>
      </w:r>
    </w:p>
    <w:p>
      <w:pPr/>
      <w:r>
        <w:t>Write an issue log entry and a change proposal for the outreach programme. Give one output measure and one outcome-oriented measure.</w:t>
      </w:r>
    </w:p>
    <w:p>
      <w:pPr/>
      <w:r>
        <w:t>Pause for a written response or discussion. Do not present private case information on screen.</w:t>
      </w:r>
    </w:p>
    <w:p>
      <w:pPr>
        <w:pStyle w:val="Heading1"/>
      </w:pPr>
      <w:r>
        <w:t>Debrief narration</w:t>
      </w:r>
    </w:p>
    <w:p>
      <w:pPr/>
      <w:r>
        <w:t>The entry explains impact and ownership. The proposal investigates causes, stays within authority and defines how service effects will be reviewed.</w:t>
      </w:r>
    </w:p>
    <w:p>
      <w:pPr>
        <w:pStyle w:val="Heading1"/>
      </w:pPr>
      <w:r>
        <w:t>Decision point recap</w:t>
      </w:r>
    </w:p>
    <w:p>
      <w:pPr/>
      <w:r>
        <w:t>Track an implementation issue with its impact, owner, action and review date; a list without follow-up is not a management response.</w:t>
      </w:r>
    </w:p>
    <w:p>
      <w:pPr/>
      <w:r>
        <w:t>A variance from plan should be explained before action: compare intended and actual delivery, investigate causes and consider service effects.</w:t>
      </w:r>
    </w:p>
    <w:p>
      <w:pPr/>
      <w:r>
        <w:t>Changes beyond delegated limits require approval; document why a change is proposed and its likely effects before committing resources.</w:t>
      </w:r>
    </w:p>
    <w:p>
      <w:pPr/>
      <w:r>
        <w:t>Distinguish a delivery count from a result for participants; both can be useful but they answer different questions.</w:t>
      </w:r>
    </w:p>
    <w:p>
      <w:pPr/>
      <w:r>
        <w:t>A learning adjustment should state the change, owner, expected effect and review criteria, while preserving safety and authorised scope.</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[R3] Viscu, L.-I., and Marici, M. (2024). Challenges in supervising social workers. International Journal of Social and Educational Innovation, 11(22), 81-94. https://zenodo.org/records/14246369</w:t>
      </w:r>
    </w:p>
    <w:p>
      <w:pPr/>
      <w:r>
        <w:t>[S2] NASW and ASWB. Best Practice Standards in Social Work Supervision. https://www.socialworkers.org/Practice/NASW-Practice-Standards-Guidelines/Best-Practice-Standards-in-Social-Work-Supervision</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delivery and learn from variation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