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Leadership Supervision and Programme Management practice worksheet</w:t>
      </w:r>
    </w:p>
    <w:p>
      <w:pPr/>
      <w:r>
        <w:t>SWP-033 | Version 1.1.0 | SWEEP Academy</w:t>
      </w:r>
    </w:p>
    <w:p>
      <w:pPr/>
      <w:r>
        <w:t>Apply all three lessons to the fictional case below. Do not use identifiable service-user information. Write a reasoned plan that makes uncertainty and decision authority explicit.</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Practice case</w:t>
      </w:r>
    </w:p>
    <w:p>
      <w:pPr/>
      <w:r>
        <w:t>A community programme is expanding its outreach sessions. Two teams share staff, a manager has a personal connection to a potential supplier, and delayed referrals are adding pressure. The board wants more sessions, while workers report that preparation and follow-up time are insufficient.</w:t>
      </w:r>
    </w:p>
    <w:p>
      <w:pPr>
        <w:pStyle w:val="Heading2"/>
      </w:pPr>
      <w:r>
        <w:t>Activity 1</w:t>
      </w:r>
    </w:p>
    <w:p>
      <w:pPr/>
      <w:r>
        <w:t>Write a short delegation note for the outreach coordinator. Include one permitted decision, one limit, a support contact and an escalation route.</w:t>
      </w:r>
    </w:p>
    <w:p>
      <w:pPr>
        <w:spacing w:after="2400"/>
      </w:pPr>
      <w:r>
        <w:t>Write your response here</w:t>
      </w:r>
    </w:p>
    <w:p>
      <w:r>
        <w:br w:type="page"/>
      </w:r>
    </w:p>
    <w:p>
      <w:pPr>
        <w:pStyle w:val="Heading2"/>
      </w:pPr>
      <w:r>
        <w:t>Activity 2</w:t>
      </w:r>
    </w:p>
    <w:p>
      <w:pPr/>
      <w:r>
        <w:t>Prepare a supervision agenda for the outreach case with a reflection question, a specific feedback observation, an agreed action and an urgent-issue route.</w:t>
      </w:r>
    </w:p>
    <w:p>
      <w:pPr>
        <w:spacing w:after="2400"/>
      </w:pPr>
      <w:r>
        <w:t>Write your response here</w:t>
      </w:r>
    </w:p>
    <w:p>
      <w:pPr>
        <w:pStyle w:val="Heading2"/>
      </w:pPr>
      <w:r>
        <w:t>Activity 3</w:t>
      </w:r>
    </w:p>
    <w:p>
      <w:pPr/>
      <w:r>
        <w:t>Write an issue log entry and a change proposal for the outreach programme. Give one output measure and one outcome-oriented measure.</w:t>
      </w:r>
    </w:p>
    <w:p>
      <w:pPr>
        <w:spacing w:after="2400"/>
      </w:pPr>
      <w:r>
        <w:t>Write your response here</w:t>
      </w:r>
    </w:p>
    <w:p>
      <w:r>
        <w:br w:type="page"/>
      </w:r>
    </w:p>
    <w:p>
      <w:pPr>
        <w:pStyle w:val="Heading1"/>
      </w:pPr>
      <w:r>
        <w:t>Self assessment and facilitator discussion</w:t>
      </w:r>
    </w:p>
    <w:p>
      <w:pPr/>
      <w:r>
        <w:t>For each activity, use 0 for missing reasoning, 1 for a partly justified response and 2 for a justified response with relevant safeguards and limits. This is a formative rubric, not the platform's certification score.</w:t>
      </w:r>
    </w:p>
    <w:p>
      <w:pPr>
        <w:pStyle w:val="Heading2"/>
      </w:pPr>
      <w:r>
        <w:t>Activity 1 criteria</w:t>
      </w:r>
    </w:p>
    <w:p>
      <w:pPr/>
      <w:r>
        <w:t>Authority is explicit and bounded. The response separates management authority from specialist competence and describes a transparent conflict-of-interest process.</w:t>
      </w:r>
    </w:p>
    <w:p>
      <w:pPr>
        <w:pStyle w:val="Heading2"/>
      </w:pPr>
      <w:r>
        <w:t>Activity 2 criteria</w:t>
      </w:r>
    </w:p>
    <w:p>
      <w:pPr/>
      <w:r>
        <w:t>The agenda balances learning and support with accountability, tests assumptions, addresses work design and does not postpone urgent concerns until the next meeting.</w:t>
      </w:r>
    </w:p>
    <w:p>
      <w:pPr>
        <w:pStyle w:val="Heading2"/>
      </w:pPr>
      <w:r>
        <w:t>Activity 3 criteria</w:t>
      </w:r>
    </w:p>
    <w:p>
      <w:pPr/>
      <w:r>
        <w:t>The entry explains impact and ownership. The proposal investigates causes, stays within authority and defines how service effects will be reviewed.</w:t>
      </w:r>
    </w:p>
    <w:p>
      <w:pPr>
        <w:pStyle w:val="Heading2"/>
      </w:pPr>
      <w:r>
        <w:t>Next learning step</w:t>
      </w:r>
    </w:p>
    <w:p>
      <w:pPr/>
      <w:r>
        <w:t>Identify one assumption you changed and one procedure you must verify locally. Explain who can resolve it before you apply the plan in practice.</w:t>
      </w:r>
    </w:p>
    <w:p>
      <w:pPr>
        <w:pStyle w:val="Heading1"/>
      </w:pPr>
      <w:r>
        <w:t>Sources and evidence limits</w:t>
      </w:r>
    </w:p>
    <w:p>
      <w:pPr/>
      <w:r>
        <w:t>[R3] Viscu, L.-I., and Marici, M. (2024). Challenges in supervising social workers. International Journal of Social and Educational Innovation, 11(22), 81-94. https://zenodo.org/records/14246369</w:t>
      </w:r>
    </w:p>
    <w:p>
      <w:pPr/>
      <w:r>
        <w:t>[S2] NASW and ASWB. Best Practice Standards in Social Work Supervision. https://www.socialworkers.org/Practice/NASW-Practice-Standards-Guidelines/Best-Practice-Standards-in-Social-Work-Supervision</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Supervision and Programme Management practice worksheet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