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Climate Justice &amp; Resilient Communities</w:t>
      </w:r>
    </w:p>
    <w:p>
      <w:pPr>
        <w:spacing w:after="320"/>
      </w:pPr>
      <w:r>
        <w:rPr>
          <w:rFonts w:ascii="Aptos" w:hAnsi="Aptos"/>
          <w:color w:val="595959"/>
          <w:sz w:val="24"/>
        </w:rPr>
        <w:t>Learner guide  |  SWP-032  |  School of Disaster Response &amp; Crisis Intervention</w:t>
      </w:r>
    </w:p>
    <w:p>
      <w:pPr>
        <w:spacing w:after="200"/>
      </w:pPr>
      <w:r>
        <w:rPr>
          <w:rFonts w:ascii="Aptos" w:hAnsi="Aptos"/>
          <w:color w:val="000000"/>
          <w:sz w:val="23"/>
        </w:rPr>
        <w:t>This guide supports a three-part learning sequence for Climate Justice &amp; Resilient Communities. By the end of the course, you should be able to use a rights-based, community-led approach to identify climate-related social inequities, strengthen adaptive capacity, and support accountable climate action within a professional role.</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Learning objectives</w:t>
      </w:r>
    </w:p>
    <w:p>
      <w:pPr>
        <w:pStyle w:val="ListBullet"/>
        <w:spacing w:after="80"/>
      </w:pPr>
      <w:r>
        <w:rPr>
          <w:rFonts w:ascii="Aptos" w:hAnsi="Aptos"/>
          <w:color w:val="000000"/>
          <w:sz w:val="21"/>
        </w:rPr>
        <w:t>Use a rights-based, community-led approach to identify climate-related social inequities, strengthen adaptive capacity, and support accountable climate action within a professional role.</w:t>
      </w:r>
    </w:p>
    <w:p>
      <w:pPr>
        <w:pStyle w:val="ListBullet"/>
        <w:spacing w:after="80"/>
      </w:pPr>
      <w:r>
        <w:rPr>
          <w:rFonts w:ascii="Aptos" w:hAnsi="Aptos"/>
          <w:color w:val="000000"/>
          <w:sz w:val="21"/>
        </w:rPr>
        <w:t>Apply the key ideas from Climate risk, inequity, and rights.</w:t>
      </w:r>
    </w:p>
    <w:p>
      <w:pPr>
        <w:pStyle w:val="ListBullet"/>
        <w:spacing w:after="80"/>
      </w:pPr>
      <w:r>
        <w:rPr>
          <w:rFonts w:ascii="Aptos" w:hAnsi="Aptos"/>
          <w:color w:val="000000"/>
          <w:sz w:val="21"/>
        </w:rPr>
        <w:t>Apply the key ideas from Community-led adaptation and resilient services.</w:t>
      </w:r>
    </w:p>
    <w:p>
      <w:pPr>
        <w:pStyle w:val="ListBullet"/>
        <w:spacing w:after="80"/>
      </w:pPr>
      <w:r>
        <w:rPr>
          <w:rFonts w:ascii="Aptos" w:hAnsi="Aptos"/>
          <w:color w:val="000000"/>
          <w:sz w:val="21"/>
        </w:rPr>
        <w:t>Apply the key ideas from Just transition, advocacy, and accountability.</w:t>
      </w:r>
    </w:p>
    <w:p>
      <w:pPr>
        <w:pStyle w:val="Heading1"/>
      </w:pPr>
      <w:r>
        <w:t>Course structure</w:t>
      </w:r>
    </w:p>
    <w:tbl>
      <w:tblPr>
        <w:tblStyle w:val="TableGrid"/>
        <w:tblW w:type="auto" w:w="0"/>
        <w:tblLook w:firstColumn="1" w:firstRow="1" w:lastColumn="0" w:lastRow="0" w:noHBand="0" w:noVBand="1" w:val="04A0"/>
      </w:tblPr>
      <w:tblGrid>
        <w:gridCol w:w="3293"/>
        <w:gridCol w:w="3293"/>
        <w:gridCol w:w="3293"/>
      </w:tblGrid>
      <w:tr>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Module</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Focus</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Suggested study time</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1. Climate risk, inequity, and rights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unequal exposure, vulnerability, livelihoods, displacement, health, disability inclusion, gender, participation, and human dignity</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2. Community-led adaptation and resilient services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local knowledge, accessible planning, social protection, livelihoods, community assets, inclusion, and adaptation partnerships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3. Just transition, advocacy, and accountability</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climate decisions, distribution of benefits and burdens, community voice, responsible evidence use, monitoring, and constructive advocacy</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bl>
    <w:p>
      <w:r>
        <w:br w:type="page"/>
      </w:r>
    </w:p>
    <w:p>
      <w:pPr>
        <w:pStyle w:val="Heading1"/>
      </w:pPr>
      <w:r>
        <w:t>Module 1  Climate risk, inequity, and rights</w:t>
      </w:r>
    </w:p>
    <w:p>
      <w:r>
        <w:rPr>
          <w:rFonts w:ascii="Aptos" w:hAnsi="Aptos"/>
          <w:color w:val="000000"/>
          <w:sz w:val="22"/>
        </w:rPr>
        <w:t>This module focuses on unequal exposure, vulnerability, livelihoods, displacement, health, disability inclusion, gender, participation, and human dignity.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Unequal exposure</w:t>
      </w:r>
    </w:p>
    <w:p>
      <w:pPr>
        <w:pStyle w:val="ListBullet"/>
        <w:spacing w:after="80"/>
      </w:pPr>
      <w:r>
        <w:rPr>
          <w:rFonts w:ascii="Aptos" w:hAnsi="Aptos"/>
          <w:color w:val="000000"/>
          <w:sz w:val="21"/>
        </w:rPr>
        <w:t>Vulnerability</w:t>
      </w:r>
    </w:p>
    <w:p>
      <w:pPr>
        <w:pStyle w:val="ListBullet"/>
        <w:spacing w:after="80"/>
      </w:pPr>
      <w:r>
        <w:rPr>
          <w:rFonts w:ascii="Aptos" w:hAnsi="Aptos"/>
          <w:color w:val="000000"/>
          <w:sz w:val="21"/>
        </w:rPr>
        <w:t>Livelihoods</w:t>
      </w:r>
    </w:p>
    <w:p>
      <w:pPr>
        <w:pStyle w:val="ListBullet"/>
        <w:spacing w:after="80"/>
      </w:pPr>
      <w:r>
        <w:rPr>
          <w:rFonts w:ascii="Aptos" w:hAnsi="Aptos"/>
          <w:color w:val="000000"/>
          <w:sz w:val="21"/>
        </w:rPr>
        <w:t>Displacement</w:t>
      </w:r>
    </w:p>
    <w:p>
      <w:pPr>
        <w:pStyle w:val="ListBullet"/>
        <w:spacing w:after="80"/>
      </w:pPr>
      <w:r>
        <w:rPr>
          <w:rFonts w:ascii="Aptos" w:hAnsi="Aptos"/>
          <w:color w:val="000000"/>
          <w:sz w:val="21"/>
        </w:rPr>
        <w:t>Health</w:t>
      </w:r>
    </w:p>
    <w:p>
      <w:pPr>
        <w:pStyle w:val="ListBullet"/>
        <w:spacing w:after="80"/>
      </w:pPr>
      <w:r>
        <w:rPr>
          <w:rFonts w:ascii="Aptos" w:hAnsi="Aptos"/>
          <w:color w:val="000000"/>
          <w:sz w:val="21"/>
        </w:rPr>
        <w:t>Disability inclusion</w:t>
      </w:r>
    </w:p>
    <w:p>
      <w:pPr>
        <w:pStyle w:val="ListBullet"/>
        <w:spacing w:after="80"/>
      </w:pPr>
      <w:r>
        <w:rPr>
          <w:rFonts w:ascii="Aptos" w:hAnsi="Aptos"/>
          <w:color w:val="000000"/>
          <w:sz w:val="21"/>
        </w:rPr>
        <w:t>Gender</w:t>
      </w:r>
    </w:p>
    <w:p>
      <w:pPr>
        <w:pStyle w:val="ListBullet"/>
        <w:spacing w:after="80"/>
      </w:pPr>
      <w:r>
        <w:rPr>
          <w:rFonts w:ascii="Aptos" w:hAnsi="Aptos"/>
          <w:color w:val="000000"/>
          <w:sz w:val="21"/>
        </w:rPr>
        <w:t>Participation</w:t>
      </w:r>
    </w:p>
    <w:p>
      <w:pPr>
        <w:pStyle w:val="ListBullet"/>
        <w:spacing w:after="80"/>
      </w:pPr>
      <w:r>
        <w:rPr>
          <w:rFonts w:ascii="Aptos" w:hAnsi="Aptos"/>
          <w:color w:val="000000"/>
          <w:sz w:val="21"/>
        </w:rPr>
        <w:t>Human dignity</w:t>
      </w:r>
    </w:p>
    <w:p>
      <w:pPr>
        <w:pStyle w:val="Heading2"/>
      </w:pPr>
      <w:r>
        <w:t>Learning sequence</w:t>
      </w:r>
    </w:p>
    <w:p>
      <w:pPr>
        <w:spacing w:after="160"/>
      </w:pPr>
      <w:r>
        <w:rPr>
          <w:rFonts w:ascii="Aptos" w:hAnsi="Aptos"/>
          <w:color w:val="000000"/>
          <w:sz w:val="21"/>
        </w:rPr>
        <w:t>Start by defining the purpose of climate risk, inequity, and rights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unequal exposure, vulnerability, livelihoods, displacement, health, disability inclusion, gender, participation, and human dignity.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climate risk, inequity, and rights safely, and what would require consultation or a local policy check?</w:t>
      </w:r>
    </w:p>
    <w:p>
      <w:r>
        <w:br w:type="page"/>
      </w:r>
    </w:p>
    <w:p>
      <w:pPr>
        <w:pStyle w:val="Heading1"/>
      </w:pPr>
      <w:r>
        <w:t>Module 2  Community-led adaptation and resilient services</w:t>
      </w:r>
    </w:p>
    <w:p>
      <w:r>
        <w:rPr>
          <w:rFonts w:ascii="Aptos" w:hAnsi="Aptos"/>
          <w:color w:val="000000"/>
          <w:sz w:val="22"/>
        </w:rPr>
        <w:t>This module focuses on local knowledge, accessible planning, social protection, livelihoods, community assets, inclusion, and adaptation partnerships.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Local knowledge</w:t>
      </w:r>
    </w:p>
    <w:p>
      <w:pPr>
        <w:pStyle w:val="ListBullet"/>
        <w:spacing w:after="80"/>
      </w:pPr>
      <w:r>
        <w:rPr>
          <w:rFonts w:ascii="Aptos" w:hAnsi="Aptos"/>
          <w:color w:val="000000"/>
          <w:sz w:val="21"/>
        </w:rPr>
        <w:t>Accessible planning</w:t>
      </w:r>
    </w:p>
    <w:p>
      <w:pPr>
        <w:pStyle w:val="ListBullet"/>
        <w:spacing w:after="80"/>
      </w:pPr>
      <w:r>
        <w:rPr>
          <w:rFonts w:ascii="Aptos" w:hAnsi="Aptos"/>
          <w:color w:val="000000"/>
          <w:sz w:val="21"/>
        </w:rPr>
        <w:t>Social protection</w:t>
      </w:r>
    </w:p>
    <w:p>
      <w:pPr>
        <w:pStyle w:val="ListBullet"/>
        <w:spacing w:after="80"/>
      </w:pPr>
      <w:r>
        <w:rPr>
          <w:rFonts w:ascii="Aptos" w:hAnsi="Aptos"/>
          <w:color w:val="000000"/>
          <w:sz w:val="21"/>
        </w:rPr>
        <w:t>Livelihoods</w:t>
      </w:r>
    </w:p>
    <w:p>
      <w:pPr>
        <w:pStyle w:val="ListBullet"/>
        <w:spacing w:after="80"/>
      </w:pPr>
      <w:r>
        <w:rPr>
          <w:rFonts w:ascii="Aptos" w:hAnsi="Aptos"/>
          <w:color w:val="000000"/>
          <w:sz w:val="21"/>
        </w:rPr>
        <w:t>Community assets</w:t>
      </w:r>
    </w:p>
    <w:p>
      <w:pPr>
        <w:pStyle w:val="ListBullet"/>
        <w:spacing w:after="80"/>
      </w:pPr>
      <w:r>
        <w:rPr>
          <w:rFonts w:ascii="Aptos" w:hAnsi="Aptos"/>
          <w:color w:val="000000"/>
          <w:sz w:val="21"/>
        </w:rPr>
        <w:t>Inclusion</w:t>
      </w:r>
    </w:p>
    <w:p>
      <w:pPr>
        <w:pStyle w:val="ListBullet"/>
        <w:spacing w:after="80"/>
      </w:pPr>
      <w:r>
        <w:rPr>
          <w:rFonts w:ascii="Aptos" w:hAnsi="Aptos"/>
          <w:color w:val="000000"/>
          <w:sz w:val="21"/>
        </w:rPr>
        <w:t>Adaptation partnerships</w:t>
      </w:r>
    </w:p>
    <w:p>
      <w:pPr>
        <w:pStyle w:val="Heading2"/>
      </w:pPr>
      <w:r>
        <w:t>Learning sequence</w:t>
      </w:r>
    </w:p>
    <w:p>
      <w:pPr>
        <w:spacing w:after="160"/>
      </w:pPr>
      <w:r>
        <w:rPr>
          <w:rFonts w:ascii="Aptos" w:hAnsi="Aptos"/>
          <w:color w:val="000000"/>
          <w:sz w:val="21"/>
        </w:rPr>
        <w:t>Start by defining the purpose of community-led adaptation and resilient services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local knowledge, accessible planning, social protection, livelihoods, community assets, inclusion, and adaptation partnerships.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community-led adaptation and resilient services safely, and what would require consultation or a local policy check?</w:t>
      </w:r>
    </w:p>
    <w:p>
      <w:r>
        <w:br w:type="page"/>
      </w:r>
    </w:p>
    <w:p>
      <w:pPr>
        <w:pStyle w:val="Heading1"/>
      </w:pPr>
      <w:r>
        <w:t>Module 3  Just transition, advocacy, and accountability</w:t>
      </w:r>
    </w:p>
    <w:p>
      <w:r>
        <w:rPr>
          <w:rFonts w:ascii="Aptos" w:hAnsi="Aptos"/>
          <w:color w:val="000000"/>
          <w:sz w:val="22"/>
        </w:rPr>
        <w:t>This module focuses on climate decisions, distribution of benefits and burdens, community voice, responsible evidence use, monitoring, and constructive advocacy.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Climate decisions</w:t>
      </w:r>
    </w:p>
    <w:p>
      <w:pPr>
        <w:pStyle w:val="ListBullet"/>
        <w:spacing w:after="80"/>
      </w:pPr>
      <w:r>
        <w:rPr>
          <w:rFonts w:ascii="Aptos" w:hAnsi="Aptos"/>
          <w:color w:val="000000"/>
          <w:sz w:val="21"/>
        </w:rPr>
        <w:t>Distribution of benefits</w:t>
      </w:r>
    </w:p>
    <w:p>
      <w:pPr>
        <w:pStyle w:val="ListBullet"/>
        <w:spacing w:after="80"/>
      </w:pPr>
      <w:r>
        <w:rPr>
          <w:rFonts w:ascii="Aptos" w:hAnsi="Aptos"/>
          <w:color w:val="000000"/>
          <w:sz w:val="21"/>
        </w:rPr>
        <w:t>Burdens</w:t>
      </w:r>
    </w:p>
    <w:p>
      <w:pPr>
        <w:pStyle w:val="ListBullet"/>
        <w:spacing w:after="80"/>
      </w:pPr>
      <w:r>
        <w:rPr>
          <w:rFonts w:ascii="Aptos" w:hAnsi="Aptos"/>
          <w:color w:val="000000"/>
          <w:sz w:val="21"/>
        </w:rPr>
        <w:t>Community voice</w:t>
      </w:r>
    </w:p>
    <w:p>
      <w:pPr>
        <w:pStyle w:val="ListBullet"/>
        <w:spacing w:after="80"/>
      </w:pPr>
      <w:r>
        <w:rPr>
          <w:rFonts w:ascii="Aptos" w:hAnsi="Aptos"/>
          <w:color w:val="000000"/>
          <w:sz w:val="21"/>
        </w:rPr>
        <w:t>Responsible evidence use</w:t>
      </w:r>
    </w:p>
    <w:p>
      <w:pPr>
        <w:pStyle w:val="ListBullet"/>
        <w:spacing w:after="80"/>
      </w:pPr>
      <w:r>
        <w:rPr>
          <w:rFonts w:ascii="Aptos" w:hAnsi="Aptos"/>
          <w:color w:val="000000"/>
          <w:sz w:val="21"/>
        </w:rPr>
        <w:t>Monitoring</w:t>
      </w:r>
    </w:p>
    <w:p>
      <w:pPr>
        <w:pStyle w:val="ListBullet"/>
        <w:spacing w:after="80"/>
      </w:pPr>
      <w:r>
        <w:rPr>
          <w:rFonts w:ascii="Aptos" w:hAnsi="Aptos"/>
          <w:color w:val="000000"/>
          <w:sz w:val="21"/>
        </w:rPr>
        <w:t>Constructive advocacy</w:t>
      </w:r>
    </w:p>
    <w:p>
      <w:pPr>
        <w:pStyle w:val="Heading2"/>
      </w:pPr>
      <w:r>
        <w:t>Learning sequence</w:t>
      </w:r>
    </w:p>
    <w:p>
      <w:pPr>
        <w:spacing w:after="160"/>
      </w:pPr>
      <w:r>
        <w:rPr>
          <w:rFonts w:ascii="Aptos" w:hAnsi="Aptos"/>
          <w:color w:val="000000"/>
          <w:sz w:val="21"/>
        </w:rPr>
        <w:t>Start by defining the purpose of just transition, advocacy, and accountability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climate decisions, distribution of benefits and burdens, community voice, responsible evidence use, monitoring, and constructive advocacy.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just transition, advocacy, and accountability safely, and what would require consultation or a local policy check?</w:t>
      </w:r>
    </w:p>
    <w:p>
      <w:r>
        <w:br w:type="page"/>
      </w:r>
    </w:p>
    <w:p>
      <w:pPr>
        <w:pStyle w:val="Heading1"/>
      </w:pPr>
      <w:r>
        <w:t>Course activity</w:t>
      </w:r>
    </w:p>
    <w:p>
      <w:r>
        <w:rPr>
          <w:rFonts w:ascii="Aptos" w:hAnsi="Aptos"/>
          <w:color w:val="000000"/>
          <w:sz w:val="21"/>
        </w:rPr>
        <w:t>Use the accompanying worksheet to apply the course sequence to a short case. Your completed activity should show what you noticed, the action you would take within your role, and what you would escalate or verify locally.</w:t>
      </w:r>
    </w:p>
    <w:p>
      <w:pPr>
        <w:pStyle w:val="Heading1"/>
      </w:pPr>
      <w:r>
        <w:t>Assessment preparation</w:t>
      </w:r>
    </w:p>
    <w:p>
      <w:pPr>
        <w:pStyle w:val="ListBullet"/>
        <w:spacing w:after="80"/>
      </w:pPr>
      <w:r>
        <w:rPr>
          <w:rFonts w:ascii="Aptos" w:hAnsi="Aptos"/>
          <w:color w:val="000000"/>
          <w:sz w:val="21"/>
        </w:rPr>
        <w:t>Review the distinction between: climate inequity.</w:t>
      </w:r>
    </w:p>
    <w:p>
      <w:pPr>
        <w:pStyle w:val="ListBullet"/>
        <w:spacing w:after="80"/>
      </w:pPr>
      <w:r>
        <w:rPr>
          <w:rFonts w:ascii="Aptos" w:hAnsi="Aptos"/>
          <w:color w:val="000000"/>
          <w:sz w:val="21"/>
        </w:rPr>
        <w:t>Review the distinction between: participatory adaptation.</w:t>
      </w:r>
    </w:p>
    <w:p>
      <w:pPr>
        <w:pStyle w:val="ListBullet"/>
        <w:spacing w:after="80"/>
      </w:pPr>
      <w:r>
        <w:rPr>
          <w:rFonts w:ascii="Aptos" w:hAnsi="Aptos"/>
          <w:color w:val="000000"/>
          <w:sz w:val="21"/>
        </w:rPr>
        <w:t>Review the distinction between: inclusive services.</w:t>
      </w:r>
    </w:p>
    <w:p>
      <w:pPr>
        <w:pStyle w:val="ListBullet"/>
        <w:spacing w:after="80"/>
      </w:pPr>
      <w:r>
        <w:rPr>
          <w:rFonts w:ascii="Aptos" w:hAnsi="Aptos"/>
          <w:color w:val="000000"/>
          <w:sz w:val="21"/>
        </w:rPr>
        <w:t>Review the distinction between: community voice.</w:t>
      </w:r>
    </w:p>
    <w:p>
      <w:pPr>
        <w:pStyle w:val="ListBullet"/>
        <w:spacing w:after="80"/>
      </w:pPr>
      <w:r>
        <w:rPr>
          <w:rFonts w:ascii="Aptos" w:hAnsi="Aptos"/>
          <w:color w:val="000000"/>
          <w:sz w:val="21"/>
        </w:rPr>
        <w:t>Review the distinction between: accountability.</w:t>
      </w:r>
    </w:p>
    <w:p>
      <w:pPr>
        <w:pStyle w:val="Heading1"/>
      </w:pPr>
      <w:r>
        <w:t>References and local adaptation</w:t>
      </w:r>
    </w:p>
    <w:p>
      <w:pPr>
        <w:pStyle w:val="ListBullet"/>
        <w:spacing w:after="80"/>
      </w:pPr>
      <w:r>
        <w:rPr>
          <w:rFonts w:ascii="Aptos" w:hAnsi="Aptos"/>
          <w:color w:val="000000"/>
          <w:sz w:val="21"/>
        </w:rPr>
        <w:t>SWEEP Academy Course Content Outlines, production blueprint for this course.</w:t>
      </w:r>
    </w:p>
    <w:p>
      <w:pPr>
        <w:pStyle w:val="ListBullet"/>
        <w:spacing w:after="80"/>
      </w:pPr>
      <w:r>
        <w:rPr>
          <w:rFonts w:ascii="Aptos" w:hAnsi="Aptos"/>
          <w:color w:val="000000"/>
          <w:sz w:val="21"/>
        </w:rPr>
        <w:t>The current legislation, professional standards, safeguarding procedures, and referral directories for the delivery jurisdiction.</w:t>
      </w:r>
    </w:p>
    <w:p>
      <w:pPr>
        <w:pStyle w:val="ListBullet"/>
        <w:spacing w:after="80"/>
      </w:pPr>
      <w:r>
        <w:rPr>
          <w:rFonts w:ascii="Aptos" w:hAnsi="Aptos"/>
          <w:color w:val="000000"/>
          <w:sz w:val="21"/>
        </w:rPr>
        <w:t>The learner's employer or placement policy, supervision arrangements, and documentation standards.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Justice &amp; Resilient Communities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