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Digital Social Work Practice</w:t>
      </w:r>
    </w:p>
    <w:p>
      <w:pPr>
        <w:spacing w:after="320"/>
      </w:pPr>
      <w:r>
        <w:rPr>
          <w:rFonts w:ascii="Aptos" w:hAnsi="Aptos"/>
          <w:color w:val="595959"/>
          <w:sz w:val="24"/>
        </w:rPr>
        <w:t>Learner guide  |  SWP-031  |  School of Community &amp; Macro Practice</w:t>
      </w:r>
    </w:p>
    <w:p>
      <w:pPr>
        <w:spacing w:after="200"/>
      </w:pPr>
      <w:r>
        <w:rPr>
          <w:rFonts w:ascii="Aptos" w:hAnsi="Aptos"/>
          <w:color w:val="000000"/>
          <w:sz w:val="23"/>
        </w:rPr>
        <w:t>This guide supports a three-part learning sequence for Digital Social Work Practice. By the end of the course, you should be able to use digital tools and digital service channels in ways that advance access, protect privacy, and preserve accountable human professional judgement.</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Use digital tools and digital service channels in ways that advance access, protect privacy, and preserve accountable human professional judgement.</w:t>
      </w:r>
    </w:p>
    <w:p>
      <w:pPr>
        <w:pStyle w:val="ListBullet"/>
        <w:spacing w:after="80"/>
      </w:pPr>
      <w:r>
        <w:rPr>
          <w:rFonts w:ascii="Aptos" w:hAnsi="Aptos"/>
          <w:color w:val="000000"/>
          <w:sz w:val="21"/>
        </w:rPr>
        <w:t>Apply the key ideas from Digital inclusion and service design.</w:t>
      </w:r>
    </w:p>
    <w:p>
      <w:pPr>
        <w:pStyle w:val="ListBullet"/>
        <w:spacing w:after="80"/>
      </w:pPr>
      <w:r>
        <w:rPr>
          <w:rFonts w:ascii="Aptos" w:hAnsi="Aptos"/>
          <w:color w:val="000000"/>
          <w:sz w:val="21"/>
        </w:rPr>
        <w:t>Apply the key ideas from Information governance and secure practice.</w:t>
      </w:r>
    </w:p>
    <w:p>
      <w:pPr>
        <w:pStyle w:val="ListBullet"/>
        <w:spacing w:after="80"/>
      </w:pPr>
      <w:r>
        <w:rPr>
          <w:rFonts w:ascii="Aptos" w:hAnsi="Aptos"/>
          <w:color w:val="000000"/>
          <w:sz w:val="21"/>
        </w:rPr>
        <w:t>Apply the key ideas from Telepractice, AI, and professional accountability.</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Digital inclusion and service design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digital exclusion, accessibility, participation, community co-design, device and connectivity constraints, and non-digital alternatives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Information governance and secure practice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purpose limitation, informed consent, minimum necessary information, secure communication, records, retention, incident reporting, and local legal requirements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Telepractice, AI, and professional accountability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role and boundary setting, suitability and risk checks, bias and error awareness, human review, transparency, documentation, supervision, and escalation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Digital inclusion and service design</w:t>
      </w:r>
    </w:p>
    <w:p>
      <w:r>
        <w:rPr>
          <w:rFonts w:ascii="Aptos" w:hAnsi="Aptos"/>
          <w:color w:val="000000"/>
          <w:sz w:val="22"/>
        </w:rPr>
        <w:t>This module focuses on digital exclusion, accessibility, participation, community co-design, device and connectivity constraints, and non-digital alternatives.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Digital exclusion</w:t>
      </w:r>
    </w:p>
    <w:p>
      <w:pPr>
        <w:pStyle w:val="ListBullet"/>
        <w:spacing w:after="80"/>
      </w:pPr>
      <w:r>
        <w:rPr>
          <w:rFonts w:ascii="Aptos" w:hAnsi="Aptos"/>
          <w:color w:val="000000"/>
          <w:sz w:val="21"/>
        </w:rPr>
        <w:t>Accessibility</w:t>
      </w:r>
    </w:p>
    <w:p>
      <w:pPr>
        <w:pStyle w:val="ListBullet"/>
        <w:spacing w:after="80"/>
      </w:pPr>
      <w:r>
        <w:rPr>
          <w:rFonts w:ascii="Aptos" w:hAnsi="Aptos"/>
          <w:color w:val="000000"/>
          <w:sz w:val="21"/>
        </w:rPr>
        <w:t>Participation</w:t>
      </w:r>
    </w:p>
    <w:p>
      <w:pPr>
        <w:pStyle w:val="ListBullet"/>
        <w:spacing w:after="80"/>
      </w:pPr>
      <w:r>
        <w:rPr>
          <w:rFonts w:ascii="Aptos" w:hAnsi="Aptos"/>
          <w:color w:val="000000"/>
          <w:sz w:val="21"/>
        </w:rPr>
        <w:t>Community co-design</w:t>
      </w:r>
    </w:p>
    <w:p>
      <w:pPr>
        <w:pStyle w:val="ListBullet"/>
        <w:spacing w:after="80"/>
      </w:pPr>
      <w:r>
        <w:rPr>
          <w:rFonts w:ascii="Aptos" w:hAnsi="Aptos"/>
          <w:color w:val="000000"/>
          <w:sz w:val="21"/>
        </w:rPr>
        <w:t>Device</w:t>
      </w:r>
    </w:p>
    <w:p>
      <w:pPr>
        <w:pStyle w:val="ListBullet"/>
        <w:spacing w:after="80"/>
      </w:pPr>
      <w:r>
        <w:rPr>
          <w:rFonts w:ascii="Aptos" w:hAnsi="Aptos"/>
          <w:color w:val="000000"/>
          <w:sz w:val="21"/>
        </w:rPr>
        <w:t>Connectivity constraints</w:t>
      </w:r>
    </w:p>
    <w:p>
      <w:pPr>
        <w:pStyle w:val="ListBullet"/>
        <w:spacing w:after="80"/>
      </w:pPr>
      <w:r>
        <w:rPr>
          <w:rFonts w:ascii="Aptos" w:hAnsi="Aptos"/>
          <w:color w:val="000000"/>
          <w:sz w:val="21"/>
        </w:rPr>
        <w:t>Non-digital alternatives</w:t>
      </w:r>
    </w:p>
    <w:p>
      <w:pPr>
        <w:pStyle w:val="Heading2"/>
      </w:pPr>
      <w:r>
        <w:t>Learning sequence</w:t>
      </w:r>
    </w:p>
    <w:p>
      <w:pPr>
        <w:spacing w:after="160"/>
      </w:pPr>
      <w:r>
        <w:rPr>
          <w:rFonts w:ascii="Aptos" w:hAnsi="Aptos"/>
          <w:color w:val="000000"/>
          <w:sz w:val="21"/>
        </w:rPr>
        <w:t>Start by defining the purpose of digital inclusion and service design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digital exclusion, accessibility, participation, community co-design, device and connectivity constraints, and non-digital alternatives.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digital inclusion and service design safely, and what would require consultation or a local policy check?</w:t>
      </w:r>
    </w:p>
    <w:p>
      <w:r>
        <w:br w:type="page"/>
      </w:r>
    </w:p>
    <w:p>
      <w:pPr>
        <w:pStyle w:val="Heading1"/>
      </w:pPr>
      <w:r>
        <w:t>Module 2  Information governance and secure practice</w:t>
      </w:r>
    </w:p>
    <w:p>
      <w:r>
        <w:rPr>
          <w:rFonts w:ascii="Aptos" w:hAnsi="Aptos"/>
          <w:color w:val="000000"/>
          <w:sz w:val="22"/>
        </w:rPr>
        <w:t>This module focuses on purpose limitation, informed consent, minimum necessary information, secure communication, records, retention, incident reporting, and local legal requirements.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Purpose limitation</w:t>
      </w:r>
    </w:p>
    <w:p>
      <w:pPr>
        <w:pStyle w:val="ListBullet"/>
        <w:spacing w:after="80"/>
      </w:pPr>
      <w:r>
        <w:rPr>
          <w:rFonts w:ascii="Aptos" w:hAnsi="Aptos"/>
          <w:color w:val="000000"/>
          <w:sz w:val="21"/>
        </w:rPr>
        <w:t>Informed consent</w:t>
      </w:r>
    </w:p>
    <w:p>
      <w:pPr>
        <w:pStyle w:val="ListBullet"/>
        <w:spacing w:after="80"/>
      </w:pPr>
      <w:r>
        <w:rPr>
          <w:rFonts w:ascii="Aptos" w:hAnsi="Aptos"/>
          <w:color w:val="000000"/>
          <w:sz w:val="21"/>
        </w:rPr>
        <w:t>Minimum necessary information</w:t>
      </w:r>
    </w:p>
    <w:p>
      <w:pPr>
        <w:pStyle w:val="ListBullet"/>
        <w:spacing w:after="80"/>
      </w:pPr>
      <w:r>
        <w:rPr>
          <w:rFonts w:ascii="Aptos" w:hAnsi="Aptos"/>
          <w:color w:val="000000"/>
          <w:sz w:val="21"/>
        </w:rPr>
        <w:t>Secure communication</w:t>
      </w:r>
    </w:p>
    <w:p>
      <w:pPr>
        <w:pStyle w:val="ListBullet"/>
        <w:spacing w:after="80"/>
      </w:pPr>
      <w:r>
        <w:rPr>
          <w:rFonts w:ascii="Aptos" w:hAnsi="Aptos"/>
          <w:color w:val="000000"/>
          <w:sz w:val="21"/>
        </w:rPr>
        <w:t>Records</w:t>
      </w:r>
    </w:p>
    <w:p>
      <w:pPr>
        <w:pStyle w:val="ListBullet"/>
        <w:spacing w:after="80"/>
      </w:pPr>
      <w:r>
        <w:rPr>
          <w:rFonts w:ascii="Aptos" w:hAnsi="Aptos"/>
          <w:color w:val="000000"/>
          <w:sz w:val="21"/>
        </w:rPr>
        <w:t>Retention</w:t>
      </w:r>
    </w:p>
    <w:p>
      <w:pPr>
        <w:pStyle w:val="ListBullet"/>
        <w:spacing w:after="80"/>
      </w:pPr>
      <w:r>
        <w:rPr>
          <w:rFonts w:ascii="Aptos" w:hAnsi="Aptos"/>
          <w:color w:val="000000"/>
          <w:sz w:val="21"/>
        </w:rPr>
        <w:t>Incident reporting</w:t>
      </w:r>
    </w:p>
    <w:p>
      <w:pPr>
        <w:pStyle w:val="ListBullet"/>
        <w:spacing w:after="80"/>
      </w:pPr>
      <w:r>
        <w:rPr>
          <w:rFonts w:ascii="Aptos" w:hAnsi="Aptos"/>
          <w:color w:val="000000"/>
          <w:sz w:val="21"/>
        </w:rPr>
        <w:t>Local legal requirements</w:t>
      </w:r>
    </w:p>
    <w:p>
      <w:pPr>
        <w:pStyle w:val="Heading2"/>
      </w:pPr>
      <w:r>
        <w:t>Learning sequence</w:t>
      </w:r>
    </w:p>
    <w:p>
      <w:pPr>
        <w:spacing w:after="160"/>
      </w:pPr>
      <w:r>
        <w:rPr>
          <w:rFonts w:ascii="Aptos" w:hAnsi="Aptos"/>
          <w:color w:val="000000"/>
          <w:sz w:val="21"/>
        </w:rPr>
        <w:t>Start by defining the purpose of information governance and secure practice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purpose limitation, informed consent, minimum necessary information, secure communication, records, retention, incident reporting, and local legal requirements.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information governance and secure practice safely, and what would require consultation or a local policy check?</w:t>
      </w:r>
    </w:p>
    <w:p>
      <w:r>
        <w:br w:type="page"/>
      </w:r>
    </w:p>
    <w:p>
      <w:pPr>
        <w:pStyle w:val="Heading1"/>
      </w:pPr>
      <w:r>
        <w:t>Module 3  Telepractice, AI, and professional accountability</w:t>
      </w:r>
    </w:p>
    <w:p>
      <w:r>
        <w:rPr>
          <w:rFonts w:ascii="Aptos" w:hAnsi="Aptos"/>
          <w:color w:val="000000"/>
          <w:sz w:val="22"/>
        </w:rPr>
        <w:t>This module focuses on role and boundary setting, suitability and risk checks, bias and error awareness, human review, transparency, documentation, supervision, and escalation.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Role</w:t>
      </w:r>
    </w:p>
    <w:p>
      <w:pPr>
        <w:pStyle w:val="ListBullet"/>
        <w:spacing w:after="80"/>
      </w:pPr>
      <w:r>
        <w:rPr>
          <w:rFonts w:ascii="Aptos" w:hAnsi="Aptos"/>
          <w:color w:val="000000"/>
          <w:sz w:val="21"/>
        </w:rPr>
        <w:t>Boundary setting</w:t>
      </w:r>
    </w:p>
    <w:p>
      <w:pPr>
        <w:pStyle w:val="ListBullet"/>
        <w:spacing w:after="80"/>
      </w:pPr>
      <w:r>
        <w:rPr>
          <w:rFonts w:ascii="Aptos" w:hAnsi="Aptos"/>
          <w:color w:val="000000"/>
          <w:sz w:val="21"/>
        </w:rPr>
        <w:t>Suitability</w:t>
      </w:r>
    </w:p>
    <w:p>
      <w:pPr>
        <w:pStyle w:val="ListBullet"/>
        <w:spacing w:after="80"/>
      </w:pPr>
      <w:r>
        <w:rPr>
          <w:rFonts w:ascii="Aptos" w:hAnsi="Aptos"/>
          <w:color w:val="000000"/>
          <w:sz w:val="21"/>
        </w:rPr>
        <w:t>Risk checks</w:t>
      </w:r>
    </w:p>
    <w:p>
      <w:pPr>
        <w:pStyle w:val="ListBullet"/>
        <w:spacing w:after="80"/>
      </w:pPr>
      <w:r>
        <w:rPr>
          <w:rFonts w:ascii="Aptos" w:hAnsi="Aptos"/>
          <w:color w:val="000000"/>
          <w:sz w:val="21"/>
        </w:rPr>
        <w:t>Bias</w:t>
      </w:r>
    </w:p>
    <w:p>
      <w:pPr>
        <w:pStyle w:val="ListBullet"/>
        <w:spacing w:after="80"/>
      </w:pPr>
      <w:r>
        <w:rPr>
          <w:rFonts w:ascii="Aptos" w:hAnsi="Aptos"/>
          <w:color w:val="000000"/>
          <w:sz w:val="21"/>
        </w:rPr>
        <w:t>Error awareness</w:t>
      </w:r>
    </w:p>
    <w:p>
      <w:pPr>
        <w:pStyle w:val="ListBullet"/>
        <w:spacing w:after="80"/>
      </w:pPr>
      <w:r>
        <w:rPr>
          <w:rFonts w:ascii="Aptos" w:hAnsi="Aptos"/>
          <w:color w:val="000000"/>
          <w:sz w:val="21"/>
        </w:rPr>
        <w:t>Human review</w:t>
      </w:r>
    </w:p>
    <w:p>
      <w:pPr>
        <w:pStyle w:val="ListBullet"/>
        <w:spacing w:after="80"/>
      </w:pPr>
      <w:r>
        <w:rPr>
          <w:rFonts w:ascii="Aptos" w:hAnsi="Aptos"/>
          <w:color w:val="000000"/>
          <w:sz w:val="21"/>
        </w:rPr>
        <w:t>Transparency</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Supervision</w:t>
      </w:r>
    </w:p>
    <w:p>
      <w:pPr>
        <w:pStyle w:val="ListBullet"/>
        <w:spacing w:after="80"/>
      </w:pPr>
      <w:r>
        <w:rPr>
          <w:rFonts w:ascii="Aptos" w:hAnsi="Aptos"/>
          <w:color w:val="000000"/>
          <w:sz w:val="21"/>
        </w:rPr>
        <w:t>Escalation</w:t>
      </w:r>
    </w:p>
    <w:p>
      <w:pPr>
        <w:pStyle w:val="Heading2"/>
      </w:pPr>
      <w:r>
        <w:t>Learning sequence</w:t>
      </w:r>
    </w:p>
    <w:p>
      <w:pPr>
        <w:spacing w:after="160"/>
      </w:pPr>
      <w:r>
        <w:rPr>
          <w:rFonts w:ascii="Aptos" w:hAnsi="Aptos"/>
          <w:color w:val="000000"/>
          <w:sz w:val="21"/>
        </w:rPr>
        <w:t>Start by defining the purpose of telepractice, ai, and professional accountability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role and boundary setting, suitability and risk checks, bias and error awareness, human review, transparency, documentation, supervision, and escalation.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telepractice, ai, and professional accountability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digital inclusion.</w:t>
      </w:r>
    </w:p>
    <w:p>
      <w:pPr>
        <w:pStyle w:val="ListBullet"/>
        <w:spacing w:after="80"/>
      </w:pPr>
      <w:r>
        <w:rPr>
          <w:rFonts w:ascii="Aptos" w:hAnsi="Aptos"/>
          <w:color w:val="000000"/>
          <w:sz w:val="21"/>
        </w:rPr>
        <w:t>Review the distinction between: informed consent.</w:t>
      </w:r>
    </w:p>
    <w:p>
      <w:pPr>
        <w:pStyle w:val="ListBullet"/>
        <w:spacing w:after="80"/>
      </w:pPr>
      <w:r>
        <w:rPr>
          <w:rFonts w:ascii="Aptos" w:hAnsi="Aptos"/>
          <w:color w:val="000000"/>
          <w:sz w:val="21"/>
        </w:rPr>
        <w:t>Review the distinction between: minimum necessary information.</w:t>
      </w:r>
    </w:p>
    <w:p>
      <w:pPr>
        <w:pStyle w:val="ListBullet"/>
        <w:spacing w:after="80"/>
      </w:pPr>
      <w:r>
        <w:rPr>
          <w:rFonts w:ascii="Aptos" w:hAnsi="Aptos"/>
          <w:color w:val="000000"/>
          <w:sz w:val="21"/>
        </w:rPr>
        <w:t>Review the distinction between: secure communication.</w:t>
      </w:r>
    </w:p>
    <w:p>
      <w:pPr>
        <w:pStyle w:val="ListBullet"/>
        <w:spacing w:after="80"/>
      </w:pPr>
      <w:r>
        <w:rPr>
          <w:rFonts w:ascii="Aptos" w:hAnsi="Aptos"/>
          <w:color w:val="000000"/>
          <w:sz w:val="21"/>
        </w:rPr>
        <w:t>Review the distinction between: AI-assisted practice.</w:t>
      </w:r>
    </w:p>
    <w:p>
      <w:pPr>
        <w:pStyle w:val="ListBullet"/>
        <w:spacing w:after="80"/>
      </w:pPr>
      <w:r>
        <w:rPr>
          <w:rFonts w:ascii="Aptos" w:hAnsi="Aptos"/>
          <w:color w:val="000000"/>
          <w:sz w:val="21"/>
        </w:rPr>
        <w:t>Review the distinction between: human oversight.</w:t>
      </w:r>
    </w:p>
    <w:p>
      <w:pPr>
        <w:pStyle w:val="ListBullet"/>
        <w:spacing w:after="80"/>
      </w:pPr>
      <w:r>
        <w:rPr>
          <w:rFonts w:ascii="Aptos" w:hAnsi="Aptos"/>
          <w:color w:val="000000"/>
          <w:sz w:val="21"/>
        </w:rPr>
        <w:t>Review the distinction between: accountability.</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Social Work Practice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