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Leadership Supervision and Programme Management</w:t>
      </w:r>
    </w:p>
    <w:p>
      <w:pPr>
        <w:spacing w:after="320"/>
      </w:pPr>
      <w:r>
        <w:rPr>
          <w:rFonts w:ascii="Aptos" w:hAnsi="Aptos"/>
          <w:color w:val="595959"/>
          <w:sz w:val="24"/>
        </w:rPr>
        <w:t>Learner guide  |  SWP-033  |  School of Community &amp; Macro Practice</w:t>
      </w:r>
    </w:p>
    <w:p>
      <w:pPr>
        <w:spacing w:after="200"/>
      </w:pPr>
      <w:r>
        <w:rPr>
          <w:rFonts w:ascii="Aptos" w:hAnsi="Aptos"/>
          <w:color w:val="000000"/>
          <w:sz w:val="23"/>
        </w:rPr>
        <w:t>This guide supports a three-part learning sequence for Leadership Supervision and Programme Management. By the end of the course, you should be able to lead and support teams, use reflective supervision, and manage community programmes with accountable governance within a professional role.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Lead and support teams, use reflective supervision, and manage community programmes with accountable governance within a professional role.</w:t>
      </w:r>
    </w:p>
    <w:p>
      <w:pPr>
        <w:pStyle w:val="ListBullet"/>
        <w:spacing w:after="80"/>
      </w:pPr>
      <w:r>
        <w:rPr>
          <w:rFonts w:ascii="Aptos" w:hAnsi="Aptos"/>
          <w:color w:val="000000"/>
          <w:sz w:val="21"/>
        </w:rPr>
        <w:t>Apply the key ideas from Leadership governance and role clarity.</w:t>
      </w:r>
    </w:p>
    <w:p>
      <w:pPr>
        <w:pStyle w:val="ListBullet"/>
        <w:spacing w:after="80"/>
      </w:pPr>
      <w:r>
        <w:rPr>
          <w:rFonts w:ascii="Aptos" w:hAnsi="Aptos"/>
          <w:color w:val="000000"/>
          <w:sz w:val="21"/>
        </w:rPr>
        <w:t>Apply the key ideas from Reflective supervision and team support.</w:t>
      </w:r>
    </w:p>
    <w:p>
      <w:pPr>
        <w:pStyle w:val="ListBullet"/>
        <w:spacing w:after="80"/>
      </w:pPr>
      <w:r>
        <w:rPr>
          <w:rFonts w:ascii="Aptos" w:hAnsi="Aptos"/>
          <w:color w:val="000000"/>
          <w:sz w:val="21"/>
        </w:rPr>
        <w:t>Apply the key ideas from Programme management and learning.</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Leadership governance and role clarity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shared purpose, delegated authority, inclusive decisions, power, accountability, and professional boundaries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Reflective supervision and team support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supervision agreements, feedback, workload, wellbeing, safeguarding boundaries, escalation, and support for learning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Programme management and learning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delivery oversight, resourcing, governance risks, implementation monitoring, issue escalation, and proportionate learning adjustments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Leadership governance and role clarity</w:t>
      </w:r>
    </w:p>
    <w:p>
      <w:r>
        <w:rPr>
          <w:rFonts w:ascii="Aptos" w:hAnsi="Aptos"/>
          <w:color w:val="000000"/>
          <w:sz w:val="22"/>
        </w:rPr>
        <w:t>This module focuses on shared purpose, delegated authority, inclusive decisions, power, accountability, and professional boundaries.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Shared purpose</w:t>
      </w:r>
    </w:p>
    <w:p>
      <w:pPr>
        <w:pStyle w:val="ListBullet"/>
        <w:spacing w:after="80"/>
      </w:pPr>
      <w:r>
        <w:rPr>
          <w:rFonts w:ascii="Aptos" w:hAnsi="Aptos"/>
          <w:color w:val="000000"/>
          <w:sz w:val="21"/>
        </w:rPr>
        <w:t>Delegated authority</w:t>
      </w:r>
    </w:p>
    <w:p>
      <w:pPr>
        <w:pStyle w:val="ListBullet"/>
        <w:spacing w:after="80"/>
      </w:pPr>
      <w:r>
        <w:rPr>
          <w:rFonts w:ascii="Aptos" w:hAnsi="Aptos"/>
          <w:color w:val="000000"/>
          <w:sz w:val="21"/>
        </w:rPr>
        <w:t>Inclusive decisions</w:t>
      </w:r>
    </w:p>
    <w:p>
      <w:pPr>
        <w:pStyle w:val="ListBullet"/>
        <w:spacing w:after="80"/>
      </w:pPr>
      <w:r>
        <w:rPr>
          <w:rFonts w:ascii="Aptos" w:hAnsi="Aptos"/>
          <w:color w:val="000000"/>
          <w:sz w:val="21"/>
        </w:rPr>
        <w:t>Power</w:t>
      </w:r>
    </w:p>
    <w:p>
      <w:pPr>
        <w:pStyle w:val="ListBullet"/>
        <w:spacing w:after="80"/>
      </w:pPr>
      <w:r>
        <w:rPr>
          <w:rFonts w:ascii="Aptos" w:hAnsi="Aptos"/>
          <w:color w:val="000000"/>
          <w:sz w:val="21"/>
        </w:rPr>
        <w:t>Accountability</w:t>
      </w:r>
    </w:p>
    <w:p>
      <w:pPr>
        <w:pStyle w:val="ListBullet"/>
        <w:spacing w:after="80"/>
      </w:pPr>
      <w:r>
        <w:rPr>
          <w:rFonts w:ascii="Aptos" w:hAnsi="Aptos"/>
          <w:color w:val="000000"/>
          <w:sz w:val="21"/>
        </w:rPr>
        <w:t>Professional boundaries</w:t>
      </w:r>
    </w:p>
    <w:p>
      <w:pPr>
        <w:pStyle w:val="Heading2"/>
      </w:pPr>
      <w:r>
        <w:t>Learning sequence</w:t>
      </w:r>
    </w:p>
    <w:p>
      <w:pPr>
        <w:spacing w:after="160"/>
      </w:pPr>
      <w:r>
        <w:rPr>
          <w:rFonts w:ascii="Aptos" w:hAnsi="Aptos"/>
          <w:color w:val="000000"/>
          <w:sz w:val="21"/>
        </w:rPr>
        <w:t>Start by defining the purpose of leadership governance and role clarity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shared purpose, delegated authority, inclusive decisions, power, accountability, and professional boundaries.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leadership governance and role clarity safely, and what would require consultation or a local policy check?</w:t>
      </w:r>
    </w:p>
    <w:p>
      <w:r>
        <w:br w:type="page"/>
      </w:r>
    </w:p>
    <w:p>
      <w:pPr>
        <w:pStyle w:val="Heading1"/>
      </w:pPr>
      <w:r>
        <w:t>Module 2  Reflective supervision and team support</w:t>
      </w:r>
    </w:p>
    <w:p>
      <w:r>
        <w:rPr>
          <w:rFonts w:ascii="Aptos" w:hAnsi="Aptos"/>
          <w:color w:val="000000"/>
          <w:sz w:val="22"/>
        </w:rPr>
        <w:t>This module focuses on supervision agreements, feedback, workload, wellbeing, safeguarding boundaries, escalation, and support for learning.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Supervision agreements</w:t>
      </w:r>
    </w:p>
    <w:p>
      <w:pPr>
        <w:pStyle w:val="ListBullet"/>
        <w:spacing w:after="80"/>
      </w:pPr>
      <w:r>
        <w:rPr>
          <w:rFonts w:ascii="Aptos" w:hAnsi="Aptos"/>
          <w:color w:val="000000"/>
          <w:sz w:val="21"/>
        </w:rPr>
        <w:t>Feedback</w:t>
      </w:r>
    </w:p>
    <w:p>
      <w:pPr>
        <w:pStyle w:val="ListBullet"/>
        <w:spacing w:after="80"/>
      </w:pPr>
      <w:r>
        <w:rPr>
          <w:rFonts w:ascii="Aptos" w:hAnsi="Aptos"/>
          <w:color w:val="000000"/>
          <w:sz w:val="21"/>
        </w:rPr>
        <w:t>Workload</w:t>
      </w:r>
    </w:p>
    <w:p>
      <w:pPr>
        <w:pStyle w:val="ListBullet"/>
        <w:spacing w:after="80"/>
      </w:pPr>
      <w:r>
        <w:rPr>
          <w:rFonts w:ascii="Aptos" w:hAnsi="Aptos"/>
          <w:color w:val="000000"/>
          <w:sz w:val="21"/>
        </w:rPr>
        <w:t>Wellbeing</w:t>
      </w:r>
    </w:p>
    <w:p>
      <w:pPr>
        <w:pStyle w:val="ListBullet"/>
        <w:spacing w:after="80"/>
      </w:pPr>
      <w:r>
        <w:rPr>
          <w:rFonts w:ascii="Aptos" w:hAnsi="Aptos"/>
          <w:color w:val="000000"/>
          <w:sz w:val="21"/>
        </w:rPr>
        <w:t>Safeguarding boundaries</w:t>
      </w:r>
    </w:p>
    <w:p>
      <w:pPr>
        <w:pStyle w:val="ListBullet"/>
        <w:spacing w:after="80"/>
      </w:pPr>
      <w:r>
        <w:rPr>
          <w:rFonts w:ascii="Aptos" w:hAnsi="Aptos"/>
          <w:color w:val="000000"/>
          <w:sz w:val="21"/>
        </w:rPr>
        <w:t>Escalation</w:t>
      </w:r>
    </w:p>
    <w:p>
      <w:pPr>
        <w:pStyle w:val="ListBullet"/>
        <w:spacing w:after="80"/>
      </w:pPr>
      <w:r>
        <w:rPr>
          <w:rFonts w:ascii="Aptos" w:hAnsi="Aptos"/>
          <w:color w:val="000000"/>
          <w:sz w:val="21"/>
        </w:rPr>
        <w:t>Support for learning</w:t>
      </w:r>
    </w:p>
    <w:p>
      <w:pPr>
        <w:pStyle w:val="Heading2"/>
      </w:pPr>
      <w:r>
        <w:t>Learning sequence</w:t>
      </w:r>
    </w:p>
    <w:p>
      <w:pPr>
        <w:spacing w:after="160"/>
      </w:pPr>
      <w:r>
        <w:rPr>
          <w:rFonts w:ascii="Aptos" w:hAnsi="Aptos"/>
          <w:color w:val="000000"/>
          <w:sz w:val="21"/>
        </w:rPr>
        <w:t>Start by defining the purpose of reflective supervision and team support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supervision agreements, feedback, workload, wellbeing, safeguarding boundaries, escalation, and support for learning.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reflective supervision and team support safely, and what would require consultation or a local policy check?</w:t>
      </w:r>
    </w:p>
    <w:p>
      <w:r>
        <w:br w:type="page"/>
      </w:r>
    </w:p>
    <w:p>
      <w:pPr>
        <w:pStyle w:val="Heading1"/>
      </w:pPr>
      <w:r>
        <w:t>Module 3  Programme management and learning</w:t>
      </w:r>
    </w:p>
    <w:p>
      <w:r>
        <w:rPr>
          <w:rFonts w:ascii="Aptos" w:hAnsi="Aptos"/>
          <w:color w:val="000000"/>
          <w:sz w:val="22"/>
        </w:rPr>
        <w:t>This module focuses on delivery oversight, resourcing, governance risks, implementation monitoring, issue escalation, and proportionate learning adjustments.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Delivery oversight</w:t>
      </w:r>
    </w:p>
    <w:p>
      <w:pPr>
        <w:pStyle w:val="ListBullet"/>
        <w:spacing w:after="80"/>
      </w:pPr>
      <w:r>
        <w:rPr>
          <w:rFonts w:ascii="Aptos" w:hAnsi="Aptos"/>
          <w:color w:val="000000"/>
          <w:sz w:val="21"/>
        </w:rPr>
        <w:t>Resourcing</w:t>
      </w:r>
    </w:p>
    <w:p>
      <w:pPr>
        <w:pStyle w:val="ListBullet"/>
        <w:spacing w:after="80"/>
      </w:pPr>
      <w:r>
        <w:rPr>
          <w:rFonts w:ascii="Aptos" w:hAnsi="Aptos"/>
          <w:color w:val="000000"/>
          <w:sz w:val="21"/>
        </w:rPr>
        <w:t>Governance risks</w:t>
      </w:r>
    </w:p>
    <w:p>
      <w:pPr>
        <w:pStyle w:val="ListBullet"/>
        <w:spacing w:after="80"/>
      </w:pPr>
      <w:r>
        <w:rPr>
          <w:rFonts w:ascii="Aptos" w:hAnsi="Aptos"/>
          <w:color w:val="000000"/>
          <w:sz w:val="21"/>
        </w:rPr>
        <w:t>Implementation monitoring</w:t>
      </w:r>
    </w:p>
    <w:p>
      <w:pPr>
        <w:pStyle w:val="ListBullet"/>
        <w:spacing w:after="80"/>
      </w:pPr>
      <w:r>
        <w:rPr>
          <w:rFonts w:ascii="Aptos" w:hAnsi="Aptos"/>
          <w:color w:val="000000"/>
          <w:sz w:val="21"/>
        </w:rPr>
        <w:t>Issue escalation</w:t>
      </w:r>
    </w:p>
    <w:p>
      <w:pPr>
        <w:pStyle w:val="ListBullet"/>
        <w:spacing w:after="80"/>
      </w:pPr>
      <w:r>
        <w:rPr>
          <w:rFonts w:ascii="Aptos" w:hAnsi="Aptos"/>
          <w:color w:val="000000"/>
          <w:sz w:val="21"/>
        </w:rPr>
        <w:t>Proportionate learning adjustments</w:t>
      </w:r>
    </w:p>
    <w:p>
      <w:pPr>
        <w:pStyle w:val="Heading2"/>
      </w:pPr>
      <w:r>
        <w:t>Learning sequence</w:t>
      </w:r>
    </w:p>
    <w:p>
      <w:pPr>
        <w:spacing w:after="160"/>
      </w:pPr>
      <w:r>
        <w:rPr>
          <w:rFonts w:ascii="Aptos" w:hAnsi="Aptos"/>
          <w:color w:val="000000"/>
          <w:sz w:val="21"/>
        </w:rPr>
        <w:t>Start by defining the purpose of programme management and learning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delivery oversight, resourcing, governance risks, implementation monitoring, issue escalation, and proportionate learning adjustments.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programme management and learning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leadership accountability.</w:t>
      </w:r>
    </w:p>
    <w:p>
      <w:pPr>
        <w:pStyle w:val="ListBullet"/>
        <w:spacing w:after="80"/>
      </w:pPr>
      <w:r>
        <w:rPr>
          <w:rFonts w:ascii="Aptos" w:hAnsi="Aptos"/>
          <w:color w:val="000000"/>
          <w:sz w:val="21"/>
        </w:rPr>
        <w:t>Review the distinction between: role boundaries.</w:t>
      </w:r>
    </w:p>
    <w:p>
      <w:pPr>
        <w:pStyle w:val="ListBullet"/>
        <w:spacing w:after="80"/>
      </w:pPr>
      <w:r>
        <w:rPr>
          <w:rFonts w:ascii="Aptos" w:hAnsi="Aptos"/>
          <w:color w:val="000000"/>
          <w:sz w:val="21"/>
        </w:rPr>
        <w:t>Review the distinction between: reflective supervision.</w:t>
      </w:r>
    </w:p>
    <w:p>
      <w:pPr>
        <w:pStyle w:val="ListBullet"/>
        <w:spacing w:after="80"/>
      </w:pPr>
      <w:r>
        <w:rPr>
          <w:rFonts w:ascii="Aptos" w:hAnsi="Aptos"/>
          <w:color w:val="000000"/>
          <w:sz w:val="21"/>
        </w:rPr>
        <w:t>Review the distinction between: team wellbeing.</w:t>
      </w:r>
    </w:p>
    <w:p>
      <w:pPr>
        <w:pStyle w:val="ListBullet"/>
        <w:spacing w:after="80"/>
      </w:pPr>
      <w:r>
        <w:rPr>
          <w:rFonts w:ascii="Aptos" w:hAnsi="Aptos"/>
          <w:color w:val="000000"/>
          <w:sz w:val="21"/>
        </w:rPr>
        <w:t>Review the distinction between: programme governance.</w:t>
      </w:r>
    </w:p>
    <w:p>
      <w:pPr>
        <w:pStyle w:val="ListBullet"/>
        <w:spacing w:after="80"/>
      </w:pPr>
      <w:r>
        <w:rPr>
          <w:rFonts w:ascii="Aptos" w:hAnsi="Aptos"/>
          <w:color w:val="000000"/>
          <w:sz w:val="21"/>
        </w:rPr>
        <w:t>Review the distinction between: escalation.</w:t>
      </w:r>
    </w:p>
    <w:p>
      <w:pPr>
        <w:pStyle w:val="ListBullet"/>
        <w:spacing w:after="80"/>
      </w:pPr>
      <w:r>
        <w:rPr>
          <w:rFonts w:ascii="Aptos" w:hAnsi="Aptos"/>
          <w:color w:val="000000"/>
          <w:sz w:val="21"/>
        </w:rPr>
        <w:t>Review the distinction between: learning from delivery.</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Supervision and Programme Management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