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Participatory Research and Practice Innovation</w:t>
      </w:r>
    </w:p>
    <w:p>
      <w:pPr>
        <w:spacing w:after="320"/>
      </w:pPr>
      <w:r>
        <w:rPr>
          <w:rFonts w:ascii="Aptos" w:hAnsi="Aptos"/>
          <w:color w:val="595959"/>
          <w:sz w:val="24"/>
        </w:rPr>
        <w:t>Learner guide  |  SWP-034  |  School of Community &amp; Macro Practice</w:t>
      </w:r>
    </w:p>
    <w:p>
      <w:pPr>
        <w:spacing w:after="200"/>
      </w:pPr>
      <w:r>
        <w:rPr>
          <w:rFonts w:ascii="Aptos" w:hAnsi="Aptos"/>
          <w:color w:val="000000"/>
          <w:sz w:val="23"/>
        </w:rPr>
        <w:t>This guide supports a three-part learning sequence for Participatory Research and Practice Innovation. By the end of the course, you should be able to plan a small, ethical, participatory practice inquiry and use the findings with communities to test and improve a service within a professional role.</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Learning objectives</w:t>
      </w:r>
    </w:p>
    <w:p>
      <w:pPr>
        <w:pStyle w:val="ListBullet"/>
        <w:spacing w:after="80"/>
      </w:pPr>
      <w:r>
        <w:rPr>
          <w:rFonts w:ascii="Aptos" w:hAnsi="Aptos"/>
          <w:color w:val="000000"/>
          <w:sz w:val="21"/>
        </w:rPr>
        <w:t>Plan a small, ethical, participatory practice inquiry and use the findings with communities to test and improve a service within a professional role.</w:t>
      </w:r>
    </w:p>
    <w:p>
      <w:pPr>
        <w:pStyle w:val="ListBullet"/>
        <w:spacing w:after="80"/>
      </w:pPr>
      <w:r>
        <w:rPr>
          <w:rFonts w:ascii="Aptos" w:hAnsi="Aptos"/>
          <w:color w:val="000000"/>
          <w:sz w:val="21"/>
        </w:rPr>
        <w:t>Apply the key ideas from Practice questions and meaningful participation.</w:t>
      </w:r>
    </w:p>
    <w:p>
      <w:pPr>
        <w:pStyle w:val="ListBullet"/>
        <w:spacing w:after="80"/>
      </w:pPr>
      <w:r>
        <w:rPr>
          <w:rFonts w:ascii="Aptos" w:hAnsi="Aptos"/>
          <w:color w:val="000000"/>
          <w:sz w:val="21"/>
        </w:rPr>
        <w:t>Apply the key ideas from Ethical inquiry and interpretation.</w:t>
      </w:r>
    </w:p>
    <w:p>
      <w:pPr>
        <w:pStyle w:val="ListBullet"/>
        <w:spacing w:after="80"/>
      </w:pPr>
      <w:r>
        <w:rPr>
          <w:rFonts w:ascii="Aptos" w:hAnsi="Aptos"/>
          <w:color w:val="000000"/>
          <w:sz w:val="21"/>
        </w:rPr>
        <w:t>Apply the key ideas from Responsible innovation and learning.</w:t>
      </w:r>
    </w:p>
    <w:p>
      <w:pPr>
        <w:pStyle w:val="Heading1"/>
      </w:pPr>
      <w:r>
        <w:t>Course structure</w:t>
      </w:r>
    </w:p>
    <w:tbl>
      <w:tblPr>
        <w:tblStyle w:val="TableGrid"/>
        <w:tblW w:type="auto" w:w="0"/>
        <w:tblLook w:firstColumn="1" w:firstRow="1" w:lastColumn="0" w:lastRow="0" w:noHBand="0" w:noVBand="1" w:val="04A0"/>
      </w:tblPr>
      <w:tblGrid>
        <w:gridCol w:w="3293"/>
        <w:gridCol w:w="3293"/>
        <w:gridCol w:w="3293"/>
      </w:tblGrid>
      <w:tr>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Module</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Focus</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Suggested study time</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1. Practice questions and meaningful participation</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question framing, positionality, consent, power, lived experience, co-research, and meaningful involvement</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2. Ethical inquiry and interpretation</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proportionate data collection, data minimisation, confidentiality, accessibility, bias, evidence limits, and transparent interpretation</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3. Responsible innovation and learning</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bounded pilots, feedback, implementation risks, decision criteria, documenting adaptations, escalation, and sharing learning with participants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bl>
    <w:p>
      <w:r>
        <w:br w:type="page"/>
      </w:r>
    </w:p>
    <w:p>
      <w:pPr>
        <w:pStyle w:val="Heading1"/>
      </w:pPr>
      <w:r>
        <w:t>Module 1  Practice questions and meaningful participation</w:t>
      </w:r>
    </w:p>
    <w:p>
      <w:r>
        <w:rPr>
          <w:rFonts w:ascii="Aptos" w:hAnsi="Aptos"/>
          <w:color w:val="000000"/>
          <w:sz w:val="22"/>
        </w:rPr>
        <w:t>This module focuses on question framing, positionality, consent, power, lived experience, co-research, and meaningful involvement.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Question framing</w:t>
      </w:r>
    </w:p>
    <w:p>
      <w:pPr>
        <w:pStyle w:val="ListBullet"/>
        <w:spacing w:after="80"/>
      </w:pPr>
      <w:r>
        <w:rPr>
          <w:rFonts w:ascii="Aptos" w:hAnsi="Aptos"/>
          <w:color w:val="000000"/>
          <w:sz w:val="21"/>
        </w:rPr>
        <w:t>Positionality</w:t>
      </w:r>
    </w:p>
    <w:p>
      <w:pPr>
        <w:pStyle w:val="ListBullet"/>
        <w:spacing w:after="80"/>
      </w:pPr>
      <w:r>
        <w:rPr>
          <w:rFonts w:ascii="Aptos" w:hAnsi="Aptos"/>
          <w:color w:val="000000"/>
          <w:sz w:val="21"/>
        </w:rPr>
        <w:t>Consent</w:t>
      </w:r>
    </w:p>
    <w:p>
      <w:pPr>
        <w:pStyle w:val="ListBullet"/>
        <w:spacing w:after="80"/>
      </w:pPr>
      <w:r>
        <w:rPr>
          <w:rFonts w:ascii="Aptos" w:hAnsi="Aptos"/>
          <w:color w:val="000000"/>
          <w:sz w:val="21"/>
        </w:rPr>
        <w:t>Power</w:t>
      </w:r>
    </w:p>
    <w:p>
      <w:pPr>
        <w:pStyle w:val="ListBullet"/>
        <w:spacing w:after="80"/>
      </w:pPr>
      <w:r>
        <w:rPr>
          <w:rFonts w:ascii="Aptos" w:hAnsi="Aptos"/>
          <w:color w:val="000000"/>
          <w:sz w:val="21"/>
        </w:rPr>
        <w:t>Lived experience</w:t>
      </w:r>
    </w:p>
    <w:p>
      <w:pPr>
        <w:pStyle w:val="ListBullet"/>
        <w:spacing w:after="80"/>
      </w:pPr>
      <w:r>
        <w:rPr>
          <w:rFonts w:ascii="Aptos" w:hAnsi="Aptos"/>
          <w:color w:val="000000"/>
          <w:sz w:val="21"/>
        </w:rPr>
        <w:t>Co-research</w:t>
      </w:r>
    </w:p>
    <w:p>
      <w:pPr>
        <w:pStyle w:val="ListBullet"/>
        <w:spacing w:after="80"/>
      </w:pPr>
      <w:r>
        <w:rPr>
          <w:rFonts w:ascii="Aptos" w:hAnsi="Aptos"/>
          <w:color w:val="000000"/>
          <w:sz w:val="21"/>
        </w:rPr>
        <w:t>Meaningful involvement</w:t>
      </w:r>
    </w:p>
    <w:p>
      <w:pPr>
        <w:pStyle w:val="Heading2"/>
      </w:pPr>
      <w:r>
        <w:t>Learning sequence</w:t>
      </w:r>
    </w:p>
    <w:p>
      <w:pPr>
        <w:spacing w:after="160"/>
      </w:pPr>
      <w:r>
        <w:rPr>
          <w:rFonts w:ascii="Aptos" w:hAnsi="Aptos"/>
          <w:color w:val="000000"/>
          <w:sz w:val="21"/>
        </w:rPr>
        <w:t>Start by defining the purpose of practice questions and meaningful participation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question framing, positionality, consent, power, lived experience, co-research, and meaningful involvement.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practice questions and meaningful participation safely, and what would require consultation or a local policy check?</w:t>
      </w:r>
    </w:p>
    <w:p>
      <w:r>
        <w:br w:type="page"/>
      </w:r>
    </w:p>
    <w:p>
      <w:pPr>
        <w:pStyle w:val="Heading1"/>
      </w:pPr>
      <w:r>
        <w:t>Module 2  Ethical inquiry and interpretation</w:t>
      </w:r>
    </w:p>
    <w:p>
      <w:r>
        <w:rPr>
          <w:rFonts w:ascii="Aptos" w:hAnsi="Aptos"/>
          <w:color w:val="000000"/>
          <w:sz w:val="22"/>
        </w:rPr>
        <w:t>This module focuses on proportionate data collection, data minimisation, confidentiality, accessibility, bias, evidence limits, and transparent interpretation.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Proportionate data collection</w:t>
      </w:r>
    </w:p>
    <w:p>
      <w:pPr>
        <w:pStyle w:val="ListBullet"/>
        <w:spacing w:after="80"/>
      </w:pPr>
      <w:r>
        <w:rPr>
          <w:rFonts w:ascii="Aptos" w:hAnsi="Aptos"/>
          <w:color w:val="000000"/>
          <w:sz w:val="21"/>
        </w:rPr>
        <w:t>Data minimisation</w:t>
      </w:r>
    </w:p>
    <w:p>
      <w:pPr>
        <w:pStyle w:val="ListBullet"/>
        <w:spacing w:after="80"/>
      </w:pPr>
      <w:r>
        <w:rPr>
          <w:rFonts w:ascii="Aptos" w:hAnsi="Aptos"/>
          <w:color w:val="000000"/>
          <w:sz w:val="21"/>
        </w:rPr>
        <w:t>Confidentiality</w:t>
      </w:r>
    </w:p>
    <w:p>
      <w:pPr>
        <w:pStyle w:val="ListBullet"/>
        <w:spacing w:after="80"/>
      </w:pPr>
      <w:r>
        <w:rPr>
          <w:rFonts w:ascii="Aptos" w:hAnsi="Aptos"/>
          <w:color w:val="000000"/>
          <w:sz w:val="21"/>
        </w:rPr>
        <w:t>Accessibility</w:t>
      </w:r>
    </w:p>
    <w:p>
      <w:pPr>
        <w:pStyle w:val="ListBullet"/>
        <w:spacing w:after="80"/>
      </w:pPr>
      <w:r>
        <w:rPr>
          <w:rFonts w:ascii="Aptos" w:hAnsi="Aptos"/>
          <w:color w:val="000000"/>
          <w:sz w:val="21"/>
        </w:rPr>
        <w:t>Bias</w:t>
      </w:r>
    </w:p>
    <w:p>
      <w:pPr>
        <w:pStyle w:val="ListBullet"/>
        <w:spacing w:after="80"/>
      </w:pPr>
      <w:r>
        <w:rPr>
          <w:rFonts w:ascii="Aptos" w:hAnsi="Aptos"/>
          <w:color w:val="000000"/>
          <w:sz w:val="21"/>
        </w:rPr>
        <w:t>Evidence limits</w:t>
      </w:r>
    </w:p>
    <w:p>
      <w:pPr>
        <w:pStyle w:val="ListBullet"/>
        <w:spacing w:after="80"/>
      </w:pPr>
      <w:r>
        <w:rPr>
          <w:rFonts w:ascii="Aptos" w:hAnsi="Aptos"/>
          <w:color w:val="000000"/>
          <w:sz w:val="21"/>
        </w:rPr>
        <w:t>Transparent interpretation</w:t>
      </w:r>
    </w:p>
    <w:p>
      <w:pPr>
        <w:pStyle w:val="Heading2"/>
      </w:pPr>
      <w:r>
        <w:t>Learning sequence</w:t>
      </w:r>
    </w:p>
    <w:p>
      <w:pPr>
        <w:spacing w:after="160"/>
      </w:pPr>
      <w:r>
        <w:rPr>
          <w:rFonts w:ascii="Aptos" w:hAnsi="Aptos"/>
          <w:color w:val="000000"/>
          <w:sz w:val="21"/>
        </w:rPr>
        <w:t>Start by defining the purpose of ethical inquiry and interpretation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proportionate data collection, data minimisation, confidentiality, accessibility, bias, evidence limits, and transparent interpretation.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ethical inquiry and interpretation safely, and what would require consultation or a local policy check?</w:t>
      </w:r>
    </w:p>
    <w:p>
      <w:r>
        <w:br w:type="page"/>
      </w:r>
    </w:p>
    <w:p>
      <w:pPr>
        <w:pStyle w:val="Heading1"/>
      </w:pPr>
      <w:r>
        <w:t>Module 3  Responsible innovation and learning</w:t>
      </w:r>
    </w:p>
    <w:p>
      <w:r>
        <w:rPr>
          <w:rFonts w:ascii="Aptos" w:hAnsi="Aptos"/>
          <w:color w:val="000000"/>
          <w:sz w:val="22"/>
        </w:rPr>
        <w:t>This module focuses on bounded pilots, feedback, implementation risks, decision criteria, documenting adaptations, escalation, and sharing learning with participants.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Bounded pilots</w:t>
      </w:r>
    </w:p>
    <w:p>
      <w:pPr>
        <w:pStyle w:val="ListBullet"/>
        <w:spacing w:after="80"/>
      </w:pPr>
      <w:r>
        <w:rPr>
          <w:rFonts w:ascii="Aptos" w:hAnsi="Aptos"/>
          <w:color w:val="000000"/>
          <w:sz w:val="21"/>
        </w:rPr>
        <w:t>Feedback</w:t>
      </w:r>
    </w:p>
    <w:p>
      <w:pPr>
        <w:pStyle w:val="ListBullet"/>
        <w:spacing w:after="80"/>
      </w:pPr>
      <w:r>
        <w:rPr>
          <w:rFonts w:ascii="Aptos" w:hAnsi="Aptos"/>
          <w:color w:val="000000"/>
          <w:sz w:val="21"/>
        </w:rPr>
        <w:t>Implementation risks</w:t>
      </w:r>
    </w:p>
    <w:p>
      <w:pPr>
        <w:pStyle w:val="ListBullet"/>
        <w:spacing w:after="80"/>
      </w:pPr>
      <w:r>
        <w:rPr>
          <w:rFonts w:ascii="Aptos" w:hAnsi="Aptos"/>
          <w:color w:val="000000"/>
          <w:sz w:val="21"/>
        </w:rPr>
        <w:t>Decision criteria</w:t>
      </w:r>
    </w:p>
    <w:p>
      <w:pPr>
        <w:pStyle w:val="ListBullet"/>
        <w:spacing w:after="80"/>
      </w:pPr>
      <w:r>
        <w:rPr>
          <w:rFonts w:ascii="Aptos" w:hAnsi="Aptos"/>
          <w:color w:val="000000"/>
          <w:sz w:val="21"/>
        </w:rPr>
        <w:t>Documenting adaptations</w:t>
      </w:r>
    </w:p>
    <w:p>
      <w:pPr>
        <w:pStyle w:val="ListBullet"/>
        <w:spacing w:after="80"/>
      </w:pPr>
      <w:r>
        <w:rPr>
          <w:rFonts w:ascii="Aptos" w:hAnsi="Aptos"/>
          <w:color w:val="000000"/>
          <w:sz w:val="21"/>
        </w:rPr>
        <w:t>Escalation</w:t>
      </w:r>
    </w:p>
    <w:p>
      <w:pPr>
        <w:pStyle w:val="ListBullet"/>
        <w:spacing w:after="80"/>
      </w:pPr>
      <w:r>
        <w:rPr>
          <w:rFonts w:ascii="Aptos" w:hAnsi="Aptos"/>
          <w:color w:val="000000"/>
          <w:sz w:val="21"/>
        </w:rPr>
        <w:t>Sharing learning with participants</w:t>
      </w:r>
    </w:p>
    <w:p>
      <w:pPr>
        <w:pStyle w:val="Heading2"/>
      </w:pPr>
      <w:r>
        <w:t>Learning sequence</w:t>
      </w:r>
    </w:p>
    <w:p>
      <w:pPr>
        <w:spacing w:after="160"/>
      </w:pPr>
      <w:r>
        <w:rPr>
          <w:rFonts w:ascii="Aptos" w:hAnsi="Aptos"/>
          <w:color w:val="000000"/>
          <w:sz w:val="21"/>
        </w:rPr>
        <w:t>Start by defining the purpose of responsible innovation and learning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bounded pilots, feedback, implementation risks, decision criteria, documenting adaptations, escalation, and sharing learning with participants.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responsible innovation and learning safely, and what would require consultation or a local policy check?</w:t>
      </w:r>
    </w:p>
    <w:p>
      <w:r>
        <w:br w:type="page"/>
      </w:r>
    </w:p>
    <w:p>
      <w:pPr>
        <w:pStyle w:val="Heading1"/>
      </w:pPr>
      <w:r>
        <w:t>Course activity</w:t>
      </w:r>
    </w:p>
    <w:p>
      <w:r>
        <w:rPr>
          <w:rFonts w:ascii="Aptos" w:hAnsi="Aptos"/>
          <w:color w:val="000000"/>
          <w:sz w:val="21"/>
        </w:rPr>
        <w:t>Use the accompanying worksheet to apply the course sequence to a short case. Your completed activity should show what you noticed, the action you would take within your role, and what you would escalate or verify locally.</w:t>
      </w:r>
    </w:p>
    <w:p>
      <w:pPr>
        <w:pStyle w:val="Heading1"/>
      </w:pPr>
      <w:r>
        <w:t>Assessment preparation</w:t>
      </w:r>
    </w:p>
    <w:p>
      <w:pPr>
        <w:pStyle w:val="ListBullet"/>
        <w:spacing w:after="80"/>
      </w:pPr>
      <w:r>
        <w:rPr>
          <w:rFonts w:ascii="Aptos" w:hAnsi="Aptos"/>
          <w:color w:val="000000"/>
          <w:sz w:val="21"/>
        </w:rPr>
        <w:t>Review the distinction between: question framing.</w:t>
      </w:r>
    </w:p>
    <w:p>
      <w:pPr>
        <w:pStyle w:val="ListBullet"/>
        <w:spacing w:after="80"/>
      </w:pPr>
      <w:r>
        <w:rPr>
          <w:rFonts w:ascii="Aptos" w:hAnsi="Aptos"/>
          <w:color w:val="000000"/>
          <w:sz w:val="21"/>
        </w:rPr>
        <w:t>Review the distinction between: meaningful participation.</w:t>
      </w:r>
    </w:p>
    <w:p>
      <w:pPr>
        <w:pStyle w:val="ListBullet"/>
        <w:spacing w:after="80"/>
      </w:pPr>
      <w:r>
        <w:rPr>
          <w:rFonts w:ascii="Aptos" w:hAnsi="Aptos"/>
          <w:color w:val="000000"/>
          <w:sz w:val="21"/>
        </w:rPr>
        <w:t>Review the distinction between: informed consent.</w:t>
      </w:r>
    </w:p>
    <w:p>
      <w:pPr>
        <w:pStyle w:val="ListBullet"/>
        <w:spacing w:after="80"/>
      </w:pPr>
      <w:r>
        <w:rPr>
          <w:rFonts w:ascii="Aptos" w:hAnsi="Aptos"/>
          <w:color w:val="000000"/>
          <w:sz w:val="21"/>
        </w:rPr>
        <w:t>Review the distinction between: data minimisation.</w:t>
      </w:r>
    </w:p>
    <w:p>
      <w:pPr>
        <w:pStyle w:val="ListBullet"/>
        <w:spacing w:after="80"/>
      </w:pPr>
      <w:r>
        <w:rPr>
          <w:rFonts w:ascii="Aptos" w:hAnsi="Aptos"/>
          <w:color w:val="000000"/>
          <w:sz w:val="21"/>
        </w:rPr>
        <w:t>Review the distinction between: evidence limits.</w:t>
      </w:r>
    </w:p>
    <w:p>
      <w:pPr>
        <w:pStyle w:val="ListBullet"/>
        <w:spacing w:after="80"/>
      </w:pPr>
      <w:r>
        <w:rPr>
          <w:rFonts w:ascii="Aptos" w:hAnsi="Aptos"/>
          <w:color w:val="000000"/>
          <w:sz w:val="21"/>
        </w:rPr>
        <w:t>Review the distinction between: pilot safeguards.</w:t>
      </w:r>
    </w:p>
    <w:p>
      <w:pPr>
        <w:pStyle w:val="ListBullet"/>
        <w:spacing w:after="80"/>
      </w:pPr>
      <w:r>
        <w:rPr>
          <w:rFonts w:ascii="Aptos" w:hAnsi="Aptos"/>
          <w:color w:val="000000"/>
          <w:sz w:val="21"/>
        </w:rPr>
        <w:t>Review the distinction between: learning decisions.</w:t>
      </w:r>
    </w:p>
    <w:p>
      <w:pPr>
        <w:pStyle w:val="Heading1"/>
      </w:pPr>
      <w:r>
        <w:t>References and local adaptation</w:t>
      </w:r>
    </w:p>
    <w:p>
      <w:pPr>
        <w:pStyle w:val="ListBullet"/>
        <w:spacing w:after="80"/>
      </w:pPr>
      <w:r>
        <w:rPr>
          <w:rFonts w:ascii="Aptos" w:hAnsi="Aptos"/>
          <w:color w:val="000000"/>
          <w:sz w:val="21"/>
        </w:rPr>
        <w:t>SWEEP Academy Course Content Outlines, production blueprint for this course.</w:t>
      </w:r>
    </w:p>
    <w:p>
      <w:pPr>
        <w:pStyle w:val="ListBullet"/>
        <w:spacing w:after="80"/>
      </w:pPr>
      <w:r>
        <w:rPr>
          <w:rFonts w:ascii="Aptos" w:hAnsi="Aptos"/>
          <w:color w:val="000000"/>
          <w:sz w:val="21"/>
        </w:rPr>
        <w:t>The current legislation, professional standards, safeguarding procedures, and referral directories for the delivery jurisdiction.</w:t>
      </w:r>
    </w:p>
    <w:p>
      <w:pPr>
        <w:pStyle w:val="ListBullet"/>
        <w:spacing w:after="80"/>
      </w:pPr>
      <w:r>
        <w:rPr>
          <w:rFonts w:ascii="Aptos" w:hAnsi="Aptos"/>
          <w:color w:val="000000"/>
          <w:sz w:val="21"/>
        </w:rPr>
        <w:t>The learner's employer or placement policy, supervision arrangements, and documentation standards.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Participatory Research and Practice Innovation Learner Guide</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