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Foundations of Child Protection</w:t>
      </w:r>
    </w:p>
    <w:p>
      <w:pPr>
        <w:spacing w:after="320"/>
      </w:pPr>
      <w:r>
        <w:rPr>
          <w:rFonts w:ascii="Aptos" w:hAnsi="Aptos"/>
          <w:color w:val="595959"/>
          <w:sz w:val="24"/>
        </w:rPr>
        <w:t>Learner guide  |  SWP-001  |  School of Child &amp; Family Welfare</w:t>
      </w:r>
    </w:p>
    <w:p>
      <w:pPr>
        <w:spacing w:after="200"/>
      </w:pPr>
      <w:r>
        <w:rPr>
          <w:rFonts w:ascii="Aptos" w:hAnsi="Aptos"/>
          <w:color w:val="000000"/>
          <w:sz w:val="23"/>
        </w:rPr>
        <w:t>This guide supports a three-part learning sequence for Foundations of Child Protection. By the end of the course, you should be able to recognise protection concerns, respond safely, and follow the local reporting pathway.</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Recognise protection concerns, respond safely, and follow the local reporting pathway.</w:t>
      </w:r>
    </w:p>
    <w:p>
      <w:pPr>
        <w:pStyle w:val="ListBullet"/>
        <w:spacing w:after="80"/>
      </w:pPr>
      <w:r>
        <w:rPr>
          <w:rFonts w:ascii="Aptos" w:hAnsi="Aptos"/>
          <w:color w:val="000000"/>
          <w:sz w:val="21"/>
        </w:rPr>
        <w:t>Apply the key ideas from Child protection foundations.</w:t>
      </w:r>
    </w:p>
    <w:p>
      <w:pPr>
        <w:pStyle w:val="ListBullet"/>
        <w:spacing w:after="80"/>
      </w:pPr>
      <w:r>
        <w:rPr>
          <w:rFonts w:ascii="Aptos" w:hAnsi="Aptos"/>
          <w:color w:val="000000"/>
          <w:sz w:val="21"/>
        </w:rPr>
        <w:t>Apply the key ideas from Recognising and responding.</w:t>
      </w:r>
    </w:p>
    <w:p>
      <w:pPr>
        <w:pStyle w:val="ListBullet"/>
        <w:spacing w:after="80"/>
      </w:pPr>
      <w:r>
        <w:rPr>
          <w:rFonts w:ascii="Aptos" w:hAnsi="Aptos"/>
          <w:color w:val="000000"/>
          <w:sz w:val="21"/>
        </w:rPr>
        <w:t>Apply the key ideas from Reporting and case coordination.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Child protection foundations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child rights, safeguarding principles, roles, and the distinction between concern, risk, and harm</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Recognising and responding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indicators of abuse/neglect, trauma-informed communication, documentation, immediate safety, and boundaries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Reporting and case coordination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mandated reporting, referral pathways, confidentiality limits, multi-agency coordination, and reflective case scenario</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Child protection foundations</w:t>
      </w:r>
    </w:p>
    <w:p>
      <w:r>
        <w:rPr>
          <w:rFonts w:ascii="Aptos" w:hAnsi="Aptos"/>
          <w:color w:val="000000"/>
          <w:sz w:val="22"/>
        </w:rPr>
        <w:t>This module focuses on child rights, safeguarding principles, roles, and the distinction between concern, risk, and harm.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Child rights</w:t>
      </w:r>
    </w:p>
    <w:p>
      <w:pPr>
        <w:pStyle w:val="ListBullet"/>
        <w:spacing w:after="80"/>
      </w:pPr>
      <w:r>
        <w:rPr>
          <w:rFonts w:ascii="Aptos" w:hAnsi="Aptos"/>
          <w:color w:val="000000"/>
          <w:sz w:val="21"/>
        </w:rPr>
        <w:t>Safeguarding principles</w:t>
      </w:r>
    </w:p>
    <w:p>
      <w:pPr>
        <w:pStyle w:val="ListBullet"/>
        <w:spacing w:after="80"/>
      </w:pPr>
      <w:r>
        <w:rPr>
          <w:rFonts w:ascii="Aptos" w:hAnsi="Aptos"/>
          <w:color w:val="000000"/>
          <w:sz w:val="21"/>
        </w:rPr>
        <w:t>Roles</w:t>
      </w:r>
    </w:p>
    <w:p>
      <w:pPr>
        <w:pStyle w:val="ListBullet"/>
        <w:spacing w:after="80"/>
      </w:pPr>
      <w:r>
        <w:rPr>
          <w:rFonts w:ascii="Aptos" w:hAnsi="Aptos"/>
          <w:color w:val="000000"/>
          <w:sz w:val="21"/>
        </w:rPr>
        <w:t>The distinction between concern</w:t>
      </w:r>
    </w:p>
    <w:p>
      <w:pPr>
        <w:pStyle w:val="ListBullet"/>
        <w:spacing w:after="80"/>
      </w:pPr>
      <w:r>
        <w:rPr>
          <w:rFonts w:ascii="Aptos" w:hAnsi="Aptos"/>
          <w:color w:val="000000"/>
          <w:sz w:val="21"/>
        </w:rPr>
        <w:t>Risk</w:t>
      </w:r>
    </w:p>
    <w:p>
      <w:pPr>
        <w:pStyle w:val="ListBullet"/>
        <w:spacing w:after="80"/>
      </w:pPr>
      <w:r>
        <w:rPr>
          <w:rFonts w:ascii="Aptos" w:hAnsi="Aptos"/>
          <w:color w:val="000000"/>
          <w:sz w:val="21"/>
        </w:rPr>
        <w:t>Harm</w:t>
      </w:r>
    </w:p>
    <w:p>
      <w:pPr>
        <w:pStyle w:val="Heading2"/>
      </w:pPr>
      <w:r>
        <w:t>Learning sequence</w:t>
      </w:r>
    </w:p>
    <w:p>
      <w:pPr>
        <w:spacing w:after="160"/>
      </w:pPr>
      <w:r>
        <w:rPr>
          <w:rFonts w:ascii="Aptos" w:hAnsi="Aptos"/>
          <w:color w:val="000000"/>
          <w:sz w:val="21"/>
        </w:rPr>
        <w:t>Start by defining the purpose of child protection foundations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child rights, safeguarding principles, roles, and the distinction between concern, risk, and harm.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child protection foundations safely, and what would require consultation or a local policy check?</w:t>
      </w:r>
    </w:p>
    <w:p>
      <w:r>
        <w:br w:type="page"/>
      </w:r>
    </w:p>
    <w:p>
      <w:pPr>
        <w:pStyle w:val="Heading1"/>
      </w:pPr>
      <w:r>
        <w:t>Module 2  Recognising and responding</w:t>
      </w:r>
    </w:p>
    <w:p>
      <w:r>
        <w:rPr>
          <w:rFonts w:ascii="Aptos" w:hAnsi="Aptos"/>
          <w:color w:val="000000"/>
          <w:sz w:val="22"/>
        </w:rPr>
        <w:t>This module focuses on indicators of abuse/neglect, trauma-informed communication, documentation, immediate safety, and boundaries.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Indicators of abuse/neglect</w:t>
      </w:r>
    </w:p>
    <w:p>
      <w:pPr>
        <w:pStyle w:val="ListBullet"/>
        <w:spacing w:after="80"/>
      </w:pPr>
      <w:r>
        <w:rPr>
          <w:rFonts w:ascii="Aptos" w:hAnsi="Aptos"/>
          <w:color w:val="000000"/>
          <w:sz w:val="21"/>
        </w:rPr>
        <w:t>Trauma-informed communication</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Immediate safety</w:t>
      </w:r>
    </w:p>
    <w:p>
      <w:pPr>
        <w:pStyle w:val="ListBullet"/>
        <w:spacing w:after="80"/>
      </w:pPr>
      <w:r>
        <w:rPr>
          <w:rFonts w:ascii="Aptos" w:hAnsi="Aptos"/>
          <w:color w:val="000000"/>
          <w:sz w:val="21"/>
        </w:rPr>
        <w:t>Boundaries</w:t>
      </w:r>
    </w:p>
    <w:p>
      <w:pPr>
        <w:pStyle w:val="Heading2"/>
      </w:pPr>
      <w:r>
        <w:t>Learning sequence</w:t>
      </w:r>
    </w:p>
    <w:p>
      <w:pPr>
        <w:spacing w:after="160"/>
      </w:pPr>
      <w:r>
        <w:rPr>
          <w:rFonts w:ascii="Aptos" w:hAnsi="Aptos"/>
          <w:color w:val="000000"/>
          <w:sz w:val="21"/>
        </w:rPr>
        <w:t>Start by defining the purpose of recognising and responding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indicators of abuse/neglect, trauma-informed communication, documentation, immediate safety, and boundaries.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recognising and responding safely, and what would require consultation or a local policy check?</w:t>
      </w:r>
    </w:p>
    <w:p>
      <w:r>
        <w:br w:type="page"/>
      </w:r>
    </w:p>
    <w:p>
      <w:pPr>
        <w:pStyle w:val="Heading1"/>
      </w:pPr>
      <w:r>
        <w:t>Module 3  Reporting and case coordination</w:t>
      </w:r>
    </w:p>
    <w:p>
      <w:r>
        <w:rPr>
          <w:rFonts w:ascii="Aptos" w:hAnsi="Aptos"/>
          <w:color w:val="000000"/>
          <w:sz w:val="22"/>
        </w:rPr>
        <w:t>This module focuses on mandated reporting, referral pathways, confidentiality limits, multi-agency coordination, and reflective case scenario.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Mandated reporting</w:t>
      </w:r>
    </w:p>
    <w:p>
      <w:pPr>
        <w:pStyle w:val="ListBullet"/>
        <w:spacing w:after="80"/>
      </w:pPr>
      <w:r>
        <w:rPr>
          <w:rFonts w:ascii="Aptos" w:hAnsi="Aptos"/>
          <w:color w:val="000000"/>
          <w:sz w:val="21"/>
        </w:rPr>
        <w:t>Referral pathways</w:t>
      </w:r>
    </w:p>
    <w:p>
      <w:pPr>
        <w:pStyle w:val="ListBullet"/>
        <w:spacing w:after="80"/>
      </w:pPr>
      <w:r>
        <w:rPr>
          <w:rFonts w:ascii="Aptos" w:hAnsi="Aptos"/>
          <w:color w:val="000000"/>
          <w:sz w:val="21"/>
        </w:rPr>
        <w:t>Confidentiality limits</w:t>
      </w:r>
    </w:p>
    <w:p>
      <w:pPr>
        <w:pStyle w:val="ListBullet"/>
        <w:spacing w:after="80"/>
      </w:pPr>
      <w:r>
        <w:rPr>
          <w:rFonts w:ascii="Aptos" w:hAnsi="Aptos"/>
          <w:color w:val="000000"/>
          <w:sz w:val="21"/>
        </w:rPr>
        <w:t>Multi-agency coordination</w:t>
      </w:r>
    </w:p>
    <w:p>
      <w:pPr>
        <w:pStyle w:val="ListBullet"/>
        <w:spacing w:after="80"/>
      </w:pPr>
      <w:r>
        <w:rPr>
          <w:rFonts w:ascii="Aptos" w:hAnsi="Aptos"/>
          <w:color w:val="000000"/>
          <w:sz w:val="21"/>
        </w:rPr>
        <w:t>Reflective case scenario</w:t>
      </w:r>
    </w:p>
    <w:p>
      <w:pPr>
        <w:pStyle w:val="Heading2"/>
      </w:pPr>
      <w:r>
        <w:t>Learning sequence</w:t>
      </w:r>
    </w:p>
    <w:p>
      <w:pPr>
        <w:spacing w:after="160"/>
      </w:pPr>
      <w:r>
        <w:rPr>
          <w:rFonts w:ascii="Aptos" w:hAnsi="Aptos"/>
          <w:color w:val="000000"/>
          <w:sz w:val="21"/>
        </w:rPr>
        <w:t>Start by defining the purpose of reporting and case coordination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mandated reporting, referral pathways, confidentiality limits, multi-agency coordination, and reflective case scenario.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reporting and case coordination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recognition.</w:t>
      </w:r>
    </w:p>
    <w:p>
      <w:pPr>
        <w:pStyle w:val="ListBullet"/>
        <w:spacing w:after="80"/>
      </w:pPr>
      <w:r>
        <w:rPr>
          <w:rFonts w:ascii="Aptos" w:hAnsi="Aptos"/>
          <w:color w:val="000000"/>
          <w:sz w:val="21"/>
        </w:rPr>
        <w:t>Review the distinction between: first response.</w:t>
      </w:r>
    </w:p>
    <w:p>
      <w:pPr>
        <w:pStyle w:val="ListBullet"/>
        <w:spacing w:after="80"/>
      </w:pPr>
      <w:r>
        <w:rPr>
          <w:rFonts w:ascii="Aptos" w:hAnsi="Aptos"/>
          <w:color w:val="000000"/>
          <w:sz w:val="21"/>
        </w:rPr>
        <w:t>Review the distinction between: documentation.</w:t>
      </w:r>
    </w:p>
    <w:p>
      <w:pPr>
        <w:pStyle w:val="ListBullet"/>
        <w:spacing w:after="80"/>
      </w:pPr>
      <w:r>
        <w:rPr>
          <w:rFonts w:ascii="Aptos" w:hAnsi="Aptos"/>
          <w:color w:val="000000"/>
          <w:sz w:val="21"/>
        </w:rPr>
        <w:t>Review the distinction between: referral.</w:t>
      </w:r>
    </w:p>
    <w:p>
      <w:pPr>
        <w:pStyle w:val="ListBullet"/>
        <w:spacing w:after="80"/>
      </w:pPr>
      <w:r>
        <w:rPr>
          <w:rFonts w:ascii="Aptos" w:hAnsi="Aptos"/>
          <w:color w:val="000000"/>
          <w:sz w:val="21"/>
        </w:rPr>
        <w:t>Review the distinction between: ethics.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Child Protection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