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Child protection foundations</w:t>
      </w:r>
    </w:p>
    <w:p>
      <w:pPr>
        <w:spacing w:after="320"/>
      </w:pPr>
      <w:r>
        <w:rPr>
          <w:rFonts w:ascii="Aptos" w:hAnsi="Aptos"/>
          <w:color w:val="595959"/>
          <w:sz w:val="24"/>
        </w:rPr>
        <w:t>Video plan and transcript  |  Foundations of Child Protection  |  Module 1</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child protection foundations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1, Child protection foundations. In this lesson, we focus on child rights, safeguarding principles, roles, and the distinction between concern, risk, and harm. The aim is to help you connect the topic to the course outcome: Recognise protection concerns, respond safely, and follow the local reporting pathway.</w:t>
      </w:r>
    </w:p>
    <w:p>
      <w:pPr>
        <w:pStyle w:val="Heading2"/>
      </w:pPr>
      <w:r>
        <w:t>Set the frame 1:00 to 3:00</w:t>
      </w:r>
    </w:p>
    <w:p>
      <w:r>
        <w:rPr>
          <w:rFonts w:ascii="Aptos" w:hAnsi="Aptos"/>
          <w:color w:val="000000"/>
          <w:sz w:val="21"/>
        </w:rPr>
        <w:t>Begin with the purpose of this work. Child protection foundations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child rights, safeguarding principles, roles, and the distinction between concern, risk, and harm.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foundations of child protection.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child protection foundations safely and respectfully? Use the worksheet to write a short response. The next step is to connect this learning with recognising and responding.</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Foundations of Child Protection Module 1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