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Family Preservation &amp; Kinship Care</w:t>
      </w:r>
    </w:p>
    <w:p>
      <w:pPr>
        <w:spacing w:after="320"/>
      </w:pPr>
      <w:r>
        <w:rPr>
          <w:rFonts w:ascii="Aptos" w:hAnsi="Aptos"/>
          <w:color w:val="595959"/>
          <w:sz w:val="24"/>
        </w:rPr>
        <w:t>Learner guide  |  SWP-002  |  School of Child &amp; Family Welfare</w:t>
      </w:r>
    </w:p>
    <w:p>
      <w:pPr>
        <w:spacing w:after="200"/>
      </w:pPr>
      <w:r>
        <w:rPr>
          <w:rFonts w:ascii="Aptos" w:hAnsi="Aptos"/>
          <w:color w:val="000000"/>
          <w:sz w:val="23"/>
        </w:rPr>
        <w:t>This guide supports a three-part learning sequence for Family Preservation &amp; Kinship Care. By the end of the course, you should be able to plan safe, strengths-based support that preserves family relationships whenever appropriate.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Plan safe, strengths-based support that preserves family relationships whenever appropriate.</w:t>
      </w:r>
    </w:p>
    <w:p>
      <w:pPr>
        <w:pStyle w:val="ListBullet"/>
        <w:spacing w:after="80"/>
      </w:pPr>
      <w:r>
        <w:rPr>
          <w:rFonts w:ascii="Aptos" w:hAnsi="Aptos"/>
          <w:color w:val="000000"/>
          <w:sz w:val="21"/>
        </w:rPr>
        <w:t>Apply the key ideas from Family-centred assessment.</w:t>
      </w:r>
    </w:p>
    <w:p>
      <w:pPr>
        <w:pStyle w:val="ListBullet"/>
        <w:spacing w:after="80"/>
      </w:pPr>
      <w:r>
        <w:rPr>
          <w:rFonts w:ascii="Aptos" w:hAnsi="Aptos"/>
          <w:color w:val="000000"/>
          <w:sz w:val="21"/>
        </w:rPr>
        <w:t>Apply the key ideas from Preservation and safety planning.</w:t>
      </w:r>
    </w:p>
    <w:p>
      <w:pPr>
        <w:pStyle w:val="ListBullet"/>
        <w:spacing w:after="80"/>
      </w:pPr>
      <w:r>
        <w:rPr>
          <w:rFonts w:ascii="Aptos" w:hAnsi="Aptos"/>
          <w:color w:val="000000"/>
          <w:sz w:val="21"/>
        </w:rPr>
        <w:t>Apply the key ideas from Kinship care practice.</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Family-centred assessment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strengths, risks, culture, family networks, and child voice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Preservation and safety planning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in-home services, measurable safety plans, crisis support, and review points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Kinship care practice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identifying kin, caregiver assessment, support needs, contact planning, and permanency review</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Family-centred assessment</w:t>
      </w:r>
    </w:p>
    <w:p>
      <w:r>
        <w:rPr>
          <w:rFonts w:ascii="Aptos" w:hAnsi="Aptos"/>
          <w:color w:val="000000"/>
          <w:sz w:val="22"/>
        </w:rPr>
        <w:t>This module focuses on strengths, risks, culture, family networks, and child voice.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Strengths</w:t>
      </w:r>
    </w:p>
    <w:p>
      <w:pPr>
        <w:pStyle w:val="ListBullet"/>
        <w:spacing w:after="80"/>
      </w:pPr>
      <w:r>
        <w:rPr>
          <w:rFonts w:ascii="Aptos" w:hAnsi="Aptos"/>
          <w:color w:val="000000"/>
          <w:sz w:val="21"/>
        </w:rPr>
        <w:t>Risks</w:t>
      </w:r>
    </w:p>
    <w:p>
      <w:pPr>
        <w:pStyle w:val="ListBullet"/>
        <w:spacing w:after="80"/>
      </w:pPr>
      <w:r>
        <w:rPr>
          <w:rFonts w:ascii="Aptos" w:hAnsi="Aptos"/>
          <w:color w:val="000000"/>
          <w:sz w:val="21"/>
        </w:rPr>
        <w:t>Culture</w:t>
      </w:r>
    </w:p>
    <w:p>
      <w:pPr>
        <w:pStyle w:val="ListBullet"/>
        <w:spacing w:after="80"/>
      </w:pPr>
      <w:r>
        <w:rPr>
          <w:rFonts w:ascii="Aptos" w:hAnsi="Aptos"/>
          <w:color w:val="000000"/>
          <w:sz w:val="21"/>
        </w:rPr>
        <w:t>Family networks</w:t>
      </w:r>
    </w:p>
    <w:p>
      <w:pPr>
        <w:pStyle w:val="ListBullet"/>
        <w:spacing w:after="80"/>
      </w:pPr>
      <w:r>
        <w:rPr>
          <w:rFonts w:ascii="Aptos" w:hAnsi="Aptos"/>
          <w:color w:val="000000"/>
          <w:sz w:val="21"/>
        </w:rPr>
        <w:t>Child voice</w:t>
      </w:r>
    </w:p>
    <w:p>
      <w:pPr>
        <w:pStyle w:val="Heading2"/>
      </w:pPr>
      <w:r>
        <w:t>Learning sequence</w:t>
      </w:r>
    </w:p>
    <w:p>
      <w:pPr>
        <w:spacing w:after="160"/>
      </w:pPr>
      <w:r>
        <w:rPr>
          <w:rFonts w:ascii="Aptos" w:hAnsi="Aptos"/>
          <w:color w:val="000000"/>
          <w:sz w:val="21"/>
        </w:rPr>
        <w:t>Start by defining the purpose of family-centred assessment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strengths, risks, culture, family networks, and child voice.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family-centred assessment safely, and what would require consultation or a local policy check?</w:t>
      </w:r>
    </w:p>
    <w:p>
      <w:r>
        <w:br w:type="page"/>
      </w:r>
    </w:p>
    <w:p>
      <w:pPr>
        <w:pStyle w:val="Heading1"/>
      </w:pPr>
      <w:r>
        <w:t>Module 2  Preservation and safety planning</w:t>
      </w:r>
    </w:p>
    <w:p>
      <w:r>
        <w:rPr>
          <w:rFonts w:ascii="Aptos" w:hAnsi="Aptos"/>
          <w:color w:val="000000"/>
          <w:sz w:val="22"/>
        </w:rPr>
        <w:t>This module focuses on in-home services, measurable safety plans, crisis support, and review points.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In-home services</w:t>
      </w:r>
    </w:p>
    <w:p>
      <w:pPr>
        <w:pStyle w:val="ListBullet"/>
        <w:spacing w:after="80"/>
      </w:pPr>
      <w:r>
        <w:rPr>
          <w:rFonts w:ascii="Aptos" w:hAnsi="Aptos"/>
          <w:color w:val="000000"/>
          <w:sz w:val="21"/>
        </w:rPr>
        <w:t>Measurable safety plans</w:t>
      </w:r>
    </w:p>
    <w:p>
      <w:pPr>
        <w:pStyle w:val="ListBullet"/>
        <w:spacing w:after="80"/>
      </w:pPr>
      <w:r>
        <w:rPr>
          <w:rFonts w:ascii="Aptos" w:hAnsi="Aptos"/>
          <w:color w:val="000000"/>
          <w:sz w:val="21"/>
        </w:rPr>
        <w:t>Crisis support</w:t>
      </w:r>
    </w:p>
    <w:p>
      <w:pPr>
        <w:pStyle w:val="ListBullet"/>
        <w:spacing w:after="80"/>
      </w:pPr>
      <w:r>
        <w:rPr>
          <w:rFonts w:ascii="Aptos" w:hAnsi="Aptos"/>
          <w:color w:val="000000"/>
          <w:sz w:val="21"/>
        </w:rPr>
        <w:t>Review points</w:t>
      </w:r>
    </w:p>
    <w:p>
      <w:pPr>
        <w:pStyle w:val="Heading2"/>
      </w:pPr>
      <w:r>
        <w:t>Learning sequence</w:t>
      </w:r>
    </w:p>
    <w:p>
      <w:pPr>
        <w:spacing w:after="160"/>
      </w:pPr>
      <w:r>
        <w:rPr>
          <w:rFonts w:ascii="Aptos" w:hAnsi="Aptos"/>
          <w:color w:val="000000"/>
          <w:sz w:val="21"/>
        </w:rPr>
        <w:t>Start by defining the purpose of preservation and safety planning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in-home services, measurable safety plans, crisis support, and review points.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preservation and safety planning safely, and what would require consultation or a local policy check?</w:t>
      </w:r>
    </w:p>
    <w:p>
      <w:r>
        <w:br w:type="page"/>
      </w:r>
    </w:p>
    <w:p>
      <w:pPr>
        <w:pStyle w:val="Heading1"/>
      </w:pPr>
      <w:r>
        <w:t>Module 3  Kinship care practice</w:t>
      </w:r>
    </w:p>
    <w:p>
      <w:r>
        <w:rPr>
          <w:rFonts w:ascii="Aptos" w:hAnsi="Aptos"/>
          <w:color w:val="000000"/>
          <w:sz w:val="22"/>
        </w:rPr>
        <w:t>This module focuses on identifying kin, caregiver assessment, support needs, contact planning, and permanency review.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Identifying kin</w:t>
      </w:r>
    </w:p>
    <w:p>
      <w:pPr>
        <w:pStyle w:val="ListBullet"/>
        <w:spacing w:after="80"/>
      </w:pPr>
      <w:r>
        <w:rPr>
          <w:rFonts w:ascii="Aptos" w:hAnsi="Aptos"/>
          <w:color w:val="000000"/>
          <w:sz w:val="21"/>
        </w:rPr>
        <w:t>Caregiver assessment</w:t>
      </w:r>
    </w:p>
    <w:p>
      <w:pPr>
        <w:pStyle w:val="ListBullet"/>
        <w:spacing w:after="80"/>
      </w:pPr>
      <w:r>
        <w:rPr>
          <w:rFonts w:ascii="Aptos" w:hAnsi="Aptos"/>
          <w:color w:val="000000"/>
          <w:sz w:val="21"/>
        </w:rPr>
        <w:t>Support needs</w:t>
      </w:r>
    </w:p>
    <w:p>
      <w:pPr>
        <w:pStyle w:val="ListBullet"/>
        <w:spacing w:after="80"/>
      </w:pPr>
      <w:r>
        <w:rPr>
          <w:rFonts w:ascii="Aptos" w:hAnsi="Aptos"/>
          <w:color w:val="000000"/>
          <w:sz w:val="21"/>
        </w:rPr>
        <w:t>Contact planning</w:t>
      </w:r>
    </w:p>
    <w:p>
      <w:pPr>
        <w:pStyle w:val="ListBullet"/>
        <w:spacing w:after="80"/>
      </w:pPr>
      <w:r>
        <w:rPr>
          <w:rFonts w:ascii="Aptos" w:hAnsi="Aptos"/>
          <w:color w:val="000000"/>
          <w:sz w:val="21"/>
        </w:rPr>
        <w:t>Permanency review</w:t>
      </w:r>
    </w:p>
    <w:p>
      <w:pPr>
        <w:pStyle w:val="Heading2"/>
      </w:pPr>
      <w:r>
        <w:t>Learning sequence</w:t>
      </w:r>
    </w:p>
    <w:p>
      <w:pPr>
        <w:spacing w:after="160"/>
      </w:pPr>
      <w:r>
        <w:rPr>
          <w:rFonts w:ascii="Aptos" w:hAnsi="Aptos"/>
          <w:color w:val="000000"/>
          <w:sz w:val="21"/>
        </w:rPr>
        <w:t>Start by defining the purpose of kinship care practice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identifying kin, caregiver assessment, support needs, contact planning, and permanency review.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kinship care practice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assessment.</w:t>
      </w:r>
    </w:p>
    <w:p>
      <w:pPr>
        <w:pStyle w:val="ListBullet"/>
        <w:spacing w:after="80"/>
      </w:pPr>
      <w:r>
        <w:rPr>
          <w:rFonts w:ascii="Aptos" w:hAnsi="Aptos"/>
          <w:color w:val="000000"/>
          <w:sz w:val="21"/>
        </w:rPr>
        <w:t>Review the distinction between: safe preservation decisions.</w:t>
      </w:r>
    </w:p>
    <w:p>
      <w:pPr>
        <w:pStyle w:val="ListBullet"/>
        <w:spacing w:after="80"/>
      </w:pPr>
      <w:r>
        <w:rPr>
          <w:rFonts w:ascii="Aptos" w:hAnsi="Aptos"/>
          <w:color w:val="000000"/>
          <w:sz w:val="21"/>
        </w:rPr>
        <w:t>Review the distinction between: kinship support.</w:t>
      </w:r>
    </w:p>
    <w:p>
      <w:pPr>
        <w:pStyle w:val="ListBullet"/>
        <w:spacing w:after="80"/>
      </w:pPr>
      <w:r>
        <w:rPr>
          <w:rFonts w:ascii="Aptos" w:hAnsi="Aptos"/>
          <w:color w:val="000000"/>
          <w:sz w:val="21"/>
        </w:rPr>
        <w:t>Review the distinction between: review criteria.</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Preservation &amp; Kinship Care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