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left"/>
      </w:pPr>
      <w:r>
        <w:rPr>
          <w:rFonts w:ascii="Aptos" w:hAnsi="Aptos"/>
          <w:b/>
          <w:color w:val="000000"/>
          <w:sz w:val="50"/>
        </w:rPr>
        <w:t>Permanency Planning &amp; Reunification</w:t>
      </w:r>
    </w:p>
    <w:p>
      <w:pPr>
        <w:spacing w:after="320"/>
      </w:pPr>
      <w:r>
        <w:rPr>
          <w:rFonts w:ascii="Aptos" w:hAnsi="Aptos"/>
          <w:color w:val="595959"/>
          <w:sz w:val="24"/>
        </w:rPr>
        <w:t>Learner guide  |  SWP-003  |  School of Child &amp; Family Welfare</w:t>
      </w:r>
    </w:p>
    <w:p>
      <w:pPr>
        <w:spacing w:after="200"/>
      </w:pPr>
      <w:r>
        <w:rPr>
          <w:rFonts w:ascii="Aptos" w:hAnsi="Aptos"/>
          <w:color w:val="000000"/>
          <w:sz w:val="23"/>
        </w:rPr>
        <w:t>This guide supports a three-part learning sequence for Permanency Planning &amp; Reunification. By the end of the course, you should be able to develop timely, child-centred permanency plans and assess reunification readiness.</w:t>
      </w:r>
    </w:p>
    <w:p>
      <w:pPr>
        <w:pStyle w:val="SmallNote"/>
      </w:pPr>
      <w:r>
        <w:rPr>
          <w:rFonts w:ascii="Aptos" w:hAnsi="Aptos"/>
          <w:color w:val="595959"/>
          <w:sz w:val="18"/>
        </w:rPr>
        <w:t>Practice notice: Apply the law, organisational policy, supervision requirements, and approved referral pathways that govern your setting. This material supports learning and does not replace urgent safeguarding, clinical, or legal procedures.</w:t>
      </w:r>
    </w:p>
    <w:p>
      <w:pPr>
        <w:pStyle w:val="Heading1"/>
      </w:pPr>
      <w:r>
        <w:t>Learning objectives</w:t>
      </w:r>
    </w:p>
    <w:p>
      <w:pPr>
        <w:pStyle w:val="ListBullet"/>
        <w:spacing w:after="80"/>
      </w:pPr>
      <w:r>
        <w:rPr>
          <w:rFonts w:ascii="Aptos" w:hAnsi="Aptos"/>
          <w:color w:val="000000"/>
          <w:sz w:val="21"/>
        </w:rPr>
        <w:t>Develop timely, child-centred permanency plans and assess reunification readiness.</w:t>
      </w:r>
    </w:p>
    <w:p>
      <w:pPr>
        <w:pStyle w:val="ListBullet"/>
        <w:spacing w:after="80"/>
      </w:pPr>
      <w:r>
        <w:rPr>
          <w:rFonts w:ascii="Aptos" w:hAnsi="Aptos"/>
          <w:color w:val="000000"/>
          <w:sz w:val="21"/>
        </w:rPr>
        <w:t>Apply the key ideas from Permanency principles.</w:t>
      </w:r>
    </w:p>
    <w:p>
      <w:pPr>
        <w:pStyle w:val="ListBullet"/>
        <w:spacing w:after="80"/>
      </w:pPr>
      <w:r>
        <w:rPr>
          <w:rFonts w:ascii="Aptos" w:hAnsi="Aptos"/>
          <w:color w:val="000000"/>
          <w:sz w:val="21"/>
        </w:rPr>
        <w:t>Apply the key ideas from Reunification practice.</w:t>
      </w:r>
    </w:p>
    <w:p>
      <w:pPr>
        <w:pStyle w:val="ListBullet"/>
        <w:spacing w:after="80"/>
      </w:pPr>
      <w:r>
        <w:rPr>
          <w:rFonts w:ascii="Aptos" w:hAnsi="Aptos"/>
          <w:color w:val="000000"/>
          <w:sz w:val="21"/>
        </w:rPr>
        <w:t>Apply the key ideas from Alternative permanency.</w:t>
      </w:r>
    </w:p>
    <w:p>
      <w:pPr>
        <w:pStyle w:val="Heading1"/>
      </w:pPr>
      <w:r>
        <w:t>Course structure</w:t>
      </w:r>
    </w:p>
    <w:tbl>
      <w:tblPr>
        <w:tblStyle w:val="TableGrid"/>
        <w:tblW w:type="auto" w:w="0"/>
        <w:tblLook w:firstColumn="1" w:firstRow="1" w:lastColumn="0" w:lastRow="0" w:noHBand="0" w:noVBand="1" w:val="04A0"/>
      </w:tblPr>
      <w:tblGrid>
        <w:gridCol w:w="3293"/>
        <w:gridCol w:w="3293"/>
        <w:gridCol w:w="3293"/>
      </w:tblGrid>
      <w:tr>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Module</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Focus</w:t>
            </w:r>
          </w:p>
        </w:tc>
        <w:tc>
          <w:tcPr>
            <w:tcW w:type="dxa" w:w="3293"/>
            <w:shd w:fill="0B2C7A"/>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r>
              <w:rPr>
                <w:rFonts w:ascii="Aptos" w:hAnsi="Aptos"/>
                <w:b/>
                <w:color w:val="FFFFFF"/>
                <w:sz w:val="19"/>
              </w:rPr>
              <w:t>Suggested study time</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1. Permanency principles</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stability, attachment, timelines, child participation, and concurrent planning</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2. Reunification practice</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left"/>
            </w:pPr>
            <w:r>
              <w:rPr>
                <w:rFonts w:ascii="Aptos" w:hAnsi="Aptos"/>
                <w:color w:val="000000"/>
                <w:sz w:val="18"/>
              </w:rPr>
              <w:t>readiness indicators, parent support, supervised contact, risk reassessment, and transition planning</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shd w:fill="F2F6FA"/>
          </w:tcPr>
          <w:p>
            <w:pPr>
              <w:jc w:val="center"/>
            </w:pPr>
            <w:r>
              <w:rPr>
                <w:rFonts w:ascii="Aptos" w:hAnsi="Aptos"/>
                <w:color w:val="000000"/>
                <w:sz w:val="18"/>
              </w:rPr>
              <w:t>10 to 15 minutes</w:t>
            </w:r>
          </w:p>
        </w:tc>
      </w:tr>
      <w:tr>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3. Alternative permanency</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left"/>
            </w:pPr>
            <w:r>
              <w:rPr>
                <w:rFonts w:ascii="Aptos" w:hAnsi="Aptos"/>
                <w:color w:val="000000"/>
                <w:sz w:val="18"/>
              </w:rPr>
              <w:t>guardianship, adoption, long-term care, cultural continuity, and case review</w:t>
            </w:r>
          </w:p>
        </w:tc>
        <w:tc>
          <w:tcPr>
            <w:tcW w:type="dxa" w:w="3293"/>
            <w:tcBorders>
              <w:top w:val="single" w:sz="6" w:space="0" w:color="D9D9D9"/>
              <w:left w:val="single" w:sz="6" w:space="0" w:color="D9D9D9"/>
              <w:bottom w:val="single" w:sz="6" w:space="0" w:color="D9D9D9"/>
              <w:right w:val="single" w:sz="6" w:space="0" w:color="D9D9D9"/>
              <w:insideH w:val="single" w:sz="6" w:space="0" w:color="D9D9D9"/>
              <w:insideV w:val="single" w:sz="6" w:space="0" w:color="D9D9D9"/>
            </w:tcBorders>
            <w:vAlign w:val="center"/>
          </w:tcPr>
          <w:p>
            <w:pPr>
              <w:jc w:val="center"/>
            </w:pPr>
            <w:r>
              <w:rPr>
                <w:rFonts w:ascii="Aptos" w:hAnsi="Aptos"/>
                <w:color w:val="000000"/>
                <w:sz w:val="18"/>
              </w:rPr>
              <w:t>10 to 15 minutes</w:t>
            </w:r>
          </w:p>
        </w:tc>
      </w:tr>
    </w:tbl>
    <w:p>
      <w:r>
        <w:br w:type="page"/>
      </w:r>
    </w:p>
    <w:p>
      <w:pPr>
        <w:pStyle w:val="Heading1"/>
      </w:pPr>
      <w:r>
        <w:t>Module 1  Permanency principles</w:t>
      </w:r>
    </w:p>
    <w:p>
      <w:r>
        <w:rPr>
          <w:rFonts w:ascii="Aptos" w:hAnsi="Aptos"/>
          <w:color w:val="000000"/>
          <w:sz w:val="22"/>
        </w:rPr>
        <w:t>This module focuses on stability, attachment, timelines, child participation, and concurrent planning.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Stability</w:t>
      </w:r>
    </w:p>
    <w:p>
      <w:pPr>
        <w:pStyle w:val="ListBullet"/>
        <w:spacing w:after="80"/>
      </w:pPr>
      <w:r>
        <w:rPr>
          <w:rFonts w:ascii="Aptos" w:hAnsi="Aptos"/>
          <w:color w:val="000000"/>
          <w:sz w:val="21"/>
        </w:rPr>
        <w:t>Attachment</w:t>
      </w:r>
    </w:p>
    <w:p>
      <w:pPr>
        <w:pStyle w:val="ListBullet"/>
        <w:spacing w:after="80"/>
      </w:pPr>
      <w:r>
        <w:rPr>
          <w:rFonts w:ascii="Aptos" w:hAnsi="Aptos"/>
          <w:color w:val="000000"/>
          <w:sz w:val="21"/>
        </w:rPr>
        <w:t>Timelines</w:t>
      </w:r>
    </w:p>
    <w:p>
      <w:pPr>
        <w:pStyle w:val="ListBullet"/>
        <w:spacing w:after="80"/>
      </w:pPr>
      <w:r>
        <w:rPr>
          <w:rFonts w:ascii="Aptos" w:hAnsi="Aptos"/>
          <w:color w:val="000000"/>
          <w:sz w:val="21"/>
        </w:rPr>
        <w:t>Child participation</w:t>
      </w:r>
    </w:p>
    <w:p>
      <w:pPr>
        <w:pStyle w:val="ListBullet"/>
        <w:spacing w:after="80"/>
      </w:pPr>
      <w:r>
        <w:rPr>
          <w:rFonts w:ascii="Aptos" w:hAnsi="Aptos"/>
          <w:color w:val="000000"/>
          <w:sz w:val="21"/>
        </w:rPr>
        <w:t>Concurrent planning</w:t>
      </w:r>
    </w:p>
    <w:p>
      <w:pPr>
        <w:pStyle w:val="Heading2"/>
      </w:pPr>
      <w:r>
        <w:t>Learning sequence</w:t>
      </w:r>
    </w:p>
    <w:p>
      <w:pPr>
        <w:spacing w:after="160"/>
      </w:pPr>
      <w:r>
        <w:rPr>
          <w:rFonts w:ascii="Aptos" w:hAnsi="Aptos"/>
          <w:color w:val="000000"/>
          <w:sz w:val="21"/>
        </w:rPr>
        <w:t>Start by defining the purpose of permanency principles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stability, attachment, timelines, child participation, and concurrent planning.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permanency principles safely, and what would require consultation or a local policy check?</w:t>
      </w:r>
    </w:p>
    <w:p>
      <w:r>
        <w:br w:type="page"/>
      </w:r>
    </w:p>
    <w:p>
      <w:pPr>
        <w:pStyle w:val="Heading1"/>
      </w:pPr>
      <w:r>
        <w:t>Module 2  Reunification practice</w:t>
      </w:r>
    </w:p>
    <w:p>
      <w:r>
        <w:rPr>
          <w:rFonts w:ascii="Aptos" w:hAnsi="Aptos"/>
          <w:color w:val="000000"/>
          <w:sz w:val="22"/>
        </w:rPr>
        <w:t>This module focuses on readiness indicators, parent support, supervised contact, risk reassessment, and transition planning.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Readiness indicators</w:t>
      </w:r>
    </w:p>
    <w:p>
      <w:pPr>
        <w:pStyle w:val="ListBullet"/>
        <w:spacing w:after="80"/>
      </w:pPr>
      <w:r>
        <w:rPr>
          <w:rFonts w:ascii="Aptos" w:hAnsi="Aptos"/>
          <w:color w:val="000000"/>
          <w:sz w:val="21"/>
        </w:rPr>
        <w:t>Parent support</w:t>
      </w:r>
    </w:p>
    <w:p>
      <w:pPr>
        <w:pStyle w:val="ListBullet"/>
        <w:spacing w:after="80"/>
      </w:pPr>
      <w:r>
        <w:rPr>
          <w:rFonts w:ascii="Aptos" w:hAnsi="Aptos"/>
          <w:color w:val="000000"/>
          <w:sz w:val="21"/>
        </w:rPr>
        <w:t>Supervised contact</w:t>
      </w:r>
    </w:p>
    <w:p>
      <w:pPr>
        <w:pStyle w:val="ListBullet"/>
        <w:spacing w:after="80"/>
      </w:pPr>
      <w:r>
        <w:rPr>
          <w:rFonts w:ascii="Aptos" w:hAnsi="Aptos"/>
          <w:color w:val="000000"/>
          <w:sz w:val="21"/>
        </w:rPr>
        <w:t>Risk reassessment</w:t>
      </w:r>
    </w:p>
    <w:p>
      <w:pPr>
        <w:pStyle w:val="ListBullet"/>
        <w:spacing w:after="80"/>
      </w:pPr>
      <w:r>
        <w:rPr>
          <w:rFonts w:ascii="Aptos" w:hAnsi="Aptos"/>
          <w:color w:val="000000"/>
          <w:sz w:val="21"/>
        </w:rPr>
        <w:t>Transition planning</w:t>
      </w:r>
    </w:p>
    <w:p>
      <w:pPr>
        <w:pStyle w:val="Heading2"/>
      </w:pPr>
      <w:r>
        <w:t>Learning sequence</w:t>
      </w:r>
    </w:p>
    <w:p>
      <w:pPr>
        <w:spacing w:after="160"/>
      </w:pPr>
      <w:r>
        <w:rPr>
          <w:rFonts w:ascii="Aptos" w:hAnsi="Aptos"/>
          <w:color w:val="000000"/>
          <w:sz w:val="21"/>
        </w:rPr>
        <w:t>Start by defining the purpose of reunification practice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readiness indicators, parent support, supervised contact, risk reassessment, and transition planning.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reunification practice safely, and what would require consultation or a local policy check?</w:t>
      </w:r>
    </w:p>
    <w:p>
      <w:r>
        <w:br w:type="page"/>
      </w:r>
    </w:p>
    <w:p>
      <w:pPr>
        <w:pStyle w:val="Heading1"/>
      </w:pPr>
      <w:r>
        <w:t>Module 3  Alternative permanency</w:t>
      </w:r>
    </w:p>
    <w:p>
      <w:r>
        <w:rPr>
          <w:rFonts w:ascii="Aptos" w:hAnsi="Aptos"/>
          <w:color w:val="000000"/>
          <w:sz w:val="22"/>
        </w:rPr>
        <w:t>This module focuses on guardianship, adoption, long-term care, cultural continuity, and case review. Work through the material with a current practice setting in mind, but remove identifying information from any examples you record.</w:t>
      </w:r>
    </w:p>
    <w:p>
      <w:pPr>
        <w:pStyle w:val="Heading2"/>
      </w:pPr>
      <w:r>
        <w:t>What to pay attention to</w:t>
      </w:r>
    </w:p>
    <w:p>
      <w:pPr>
        <w:pStyle w:val="ListBullet"/>
        <w:spacing w:after="80"/>
      </w:pPr>
      <w:r>
        <w:rPr>
          <w:rFonts w:ascii="Aptos" w:hAnsi="Aptos"/>
          <w:color w:val="000000"/>
          <w:sz w:val="21"/>
        </w:rPr>
        <w:t>Guardianship</w:t>
      </w:r>
    </w:p>
    <w:p>
      <w:pPr>
        <w:pStyle w:val="ListBullet"/>
        <w:spacing w:after="80"/>
      </w:pPr>
      <w:r>
        <w:rPr>
          <w:rFonts w:ascii="Aptos" w:hAnsi="Aptos"/>
          <w:color w:val="000000"/>
          <w:sz w:val="21"/>
        </w:rPr>
        <w:t>Adoption</w:t>
      </w:r>
    </w:p>
    <w:p>
      <w:pPr>
        <w:pStyle w:val="ListBullet"/>
        <w:spacing w:after="80"/>
      </w:pPr>
      <w:r>
        <w:rPr>
          <w:rFonts w:ascii="Aptos" w:hAnsi="Aptos"/>
          <w:color w:val="000000"/>
          <w:sz w:val="21"/>
        </w:rPr>
        <w:t>Long-term care</w:t>
      </w:r>
    </w:p>
    <w:p>
      <w:pPr>
        <w:pStyle w:val="ListBullet"/>
        <w:spacing w:after="80"/>
      </w:pPr>
      <w:r>
        <w:rPr>
          <w:rFonts w:ascii="Aptos" w:hAnsi="Aptos"/>
          <w:color w:val="000000"/>
          <w:sz w:val="21"/>
        </w:rPr>
        <w:t>Cultural continuity</w:t>
      </w:r>
    </w:p>
    <w:p>
      <w:pPr>
        <w:pStyle w:val="ListBullet"/>
        <w:spacing w:after="80"/>
      </w:pPr>
      <w:r>
        <w:rPr>
          <w:rFonts w:ascii="Aptos" w:hAnsi="Aptos"/>
          <w:color w:val="000000"/>
          <w:sz w:val="21"/>
        </w:rPr>
        <w:t>Case review</w:t>
      </w:r>
    </w:p>
    <w:p>
      <w:pPr>
        <w:pStyle w:val="Heading2"/>
      </w:pPr>
      <w:r>
        <w:t>Learning sequence</w:t>
      </w:r>
    </w:p>
    <w:p>
      <w:pPr>
        <w:spacing w:after="160"/>
      </w:pPr>
      <w:r>
        <w:rPr>
          <w:rFonts w:ascii="Aptos" w:hAnsi="Aptos"/>
          <w:color w:val="000000"/>
          <w:sz w:val="21"/>
        </w:rPr>
        <w:t>Start by defining the purpose of alternative permanency in relation to the course outcome. Notice where professional judgement is needed and where a local procedure must guide the next step.</w:t>
      </w:r>
    </w:p>
    <w:p>
      <w:pPr>
        <w:spacing w:after="160"/>
      </w:pPr>
      <w:r>
        <w:rPr>
          <w:rFonts w:ascii="Aptos" w:hAnsi="Aptos"/>
          <w:color w:val="000000"/>
          <w:sz w:val="21"/>
        </w:rPr>
        <w:t>Examine the practical implications of guardianship, adoption, long-term care, cultural continuity, and case review. Separate observations from assumptions, identify strengths as well as concerns, and be clear about information that must be checked with a person, family, colleague, or approved source.</w:t>
      </w:r>
    </w:p>
    <w:p>
      <w:pPr>
        <w:spacing w:after="160"/>
      </w:pPr>
      <w:r>
        <w:rPr>
          <w:rFonts w:ascii="Aptos" w:hAnsi="Aptos"/>
          <w:color w:val="000000"/>
          <w:sz w:val="21"/>
        </w:rPr>
        <w:t>Use a respectful, collaborative approach. Explain your role, seek informed participation where appropriate, and document only information that is relevant, accurate, and necessary for the purpose of the work.</w:t>
      </w:r>
    </w:p>
    <w:p>
      <w:pPr>
        <w:spacing w:after="160"/>
      </w:pPr>
      <w:r>
        <w:rPr>
          <w:rFonts w:ascii="Aptos" w:hAnsi="Aptos"/>
          <w:color w:val="000000"/>
          <w:sz w:val="21"/>
        </w:rPr>
        <w:t>When a concern exceeds your role, supervision, competence, or authority, pause and use the correct escalation route. A prompt referral and a clear handover can protect continuity of support.</w:t>
      </w:r>
    </w:p>
    <w:p>
      <w:pPr>
        <w:pStyle w:val="Heading2"/>
      </w:pPr>
      <w:r>
        <w:t>Practice reflection</w:t>
      </w:r>
    </w:p>
    <w:p>
      <w:r>
        <w:rPr>
          <w:rFonts w:ascii="Aptos" w:hAnsi="Aptos"/>
          <w:color w:val="000000"/>
          <w:sz w:val="21"/>
        </w:rPr>
        <w:t>Choose a de-identified practice situation. What information would help you work through alternative permanency safely, and what would require consultation or a local policy check?</w:t>
      </w:r>
    </w:p>
    <w:p>
      <w:r>
        <w:br w:type="page"/>
      </w:r>
    </w:p>
    <w:p>
      <w:pPr>
        <w:pStyle w:val="Heading1"/>
      </w:pPr>
      <w:r>
        <w:t>Course activity</w:t>
      </w:r>
    </w:p>
    <w:p>
      <w:r>
        <w:rPr>
          <w:rFonts w:ascii="Aptos" w:hAnsi="Aptos"/>
          <w:color w:val="000000"/>
          <w:sz w:val="21"/>
        </w:rPr>
        <w:t>Use the accompanying worksheet to apply the course sequence to a short case. Your completed activity should show what you noticed, the action you would take within your role, and what you would escalate or verify locally.</w:t>
      </w:r>
    </w:p>
    <w:p>
      <w:pPr>
        <w:pStyle w:val="Heading1"/>
      </w:pPr>
      <w:r>
        <w:t>Assessment preparation</w:t>
      </w:r>
    </w:p>
    <w:p>
      <w:pPr>
        <w:pStyle w:val="ListBullet"/>
        <w:spacing w:after="80"/>
      </w:pPr>
      <w:r>
        <w:rPr>
          <w:rFonts w:ascii="Aptos" w:hAnsi="Aptos"/>
          <w:color w:val="000000"/>
          <w:sz w:val="21"/>
        </w:rPr>
        <w:t>Review the distinction between: child-centred decision making.</w:t>
      </w:r>
    </w:p>
    <w:p>
      <w:pPr>
        <w:pStyle w:val="ListBullet"/>
        <w:spacing w:after="80"/>
      </w:pPr>
      <w:r>
        <w:rPr>
          <w:rFonts w:ascii="Aptos" w:hAnsi="Aptos"/>
          <w:color w:val="000000"/>
          <w:sz w:val="21"/>
        </w:rPr>
        <w:t>Review the distinction between: concurrent planning.</w:t>
      </w:r>
    </w:p>
    <w:p>
      <w:pPr>
        <w:pStyle w:val="ListBullet"/>
        <w:spacing w:after="80"/>
      </w:pPr>
      <w:r>
        <w:rPr>
          <w:rFonts w:ascii="Aptos" w:hAnsi="Aptos"/>
          <w:color w:val="000000"/>
          <w:sz w:val="21"/>
        </w:rPr>
        <w:t>Review the distinction between: readiness evidence.</w:t>
      </w:r>
    </w:p>
    <w:p>
      <w:pPr>
        <w:pStyle w:val="Heading1"/>
      </w:pPr>
      <w:r>
        <w:t>References and local adaptation</w:t>
      </w:r>
    </w:p>
    <w:p>
      <w:pPr>
        <w:pStyle w:val="ListBullet"/>
        <w:spacing w:after="80"/>
      </w:pPr>
      <w:r>
        <w:rPr>
          <w:rFonts w:ascii="Aptos" w:hAnsi="Aptos"/>
          <w:color w:val="000000"/>
          <w:sz w:val="21"/>
        </w:rPr>
        <w:t>SWEEP Academy Course Content Outlines, production blueprint for this course.</w:t>
      </w:r>
    </w:p>
    <w:p>
      <w:pPr>
        <w:pStyle w:val="ListBullet"/>
        <w:spacing w:after="80"/>
      </w:pPr>
      <w:r>
        <w:rPr>
          <w:rFonts w:ascii="Aptos" w:hAnsi="Aptos"/>
          <w:color w:val="000000"/>
          <w:sz w:val="21"/>
        </w:rPr>
        <w:t>The current legislation, professional standards, safeguarding procedures, and referral directories for the delivery jurisdiction.</w:t>
      </w:r>
    </w:p>
    <w:p>
      <w:pPr>
        <w:pStyle w:val="ListBullet"/>
        <w:spacing w:after="80"/>
      </w:pPr>
      <w:r>
        <w:rPr>
          <w:rFonts w:ascii="Aptos" w:hAnsi="Aptos"/>
          <w:color w:val="000000"/>
          <w:sz w:val="21"/>
        </w:rPr>
        <w:t>The learner's employer or placement policy, supervision arrangements, and documentation standards.</w:t>
      </w:r>
    </w:p>
    <w:sectPr w:rsidR="00FC693F" w:rsidRPr="0006063C" w:rsidSect="00034616">
      <w:footerReference w:type="default" r:id="rId9"/>
      <w:pgSz w:w="12240" w:h="15840"/>
      <w:pgMar w:top="1080" w:right="1181" w:bottom="1037"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color w:val="595959"/>
        <w:sz w:val="17"/>
      </w:rPr>
      <w:t>SWEEP Academy learning materials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keepNext w:val="0"/>
      <w:spacing w:after="140"/>
    </w:pPr>
    <w:rPr>
      <w:rFonts w:ascii="Aptos" w:hAnsi="Aptos"/>
      <w:b w:val="0"/>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00"/>
      <w:outlineLvl w:val="0"/>
    </w:pPr>
    <w:rPr>
      <w:rFonts w:asciiTheme="majorHAnsi" w:eastAsiaTheme="majorEastAsia" w:hAnsiTheme="majorHAnsi" w:cstheme="majorBidi" w:ascii="Aptos" w:hAnsi="Aptos"/>
      <w:b/>
      <w:bCs/>
      <w:color w:val="000000"/>
      <w:sz w:val="34"/>
      <w:szCs w:val="28"/>
    </w:rPr>
  </w:style>
  <w:style w:type="paragraph" w:styleId="Heading2">
    <w:name w:val="heading 2"/>
    <w:basedOn w:val="Normal"/>
    <w:next w:val="Normal"/>
    <w:link w:val="Heading2Char"/>
    <w:uiPriority w:val="9"/>
    <w:unhideWhenUsed/>
    <w:qFormat/>
    <w:rsid w:val="00FC693F"/>
    <w:pPr>
      <w:keepNext/>
      <w:keepLines/>
      <w:spacing w:before="200" w:after="200"/>
      <w:outlineLvl w:val="1"/>
    </w:pPr>
    <w:rPr>
      <w:rFonts w:asciiTheme="majorHAnsi" w:eastAsiaTheme="majorEastAsia" w:hAnsiTheme="majorHAnsi" w:cstheme="majorBidi" w:ascii="Aptos" w:hAnsi="Aptos"/>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200" w:line="240" w:lineRule="auto"/>
      <w:contextualSpacing/>
    </w:pPr>
    <w:rPr>
      <w:rFonts w:asciiTheme="majorHAnsi" w:eastAsiaTheme="majorEastAsia" w:hAnsiTheme="majorHAnsi" w:cstheme="majorBidi" w:ascii="Aptos" w:hAnsi="Aptos"/>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Note">
    <w:name w:val="Small Note"/>
    <w:pPr>
      <w:spacing w:after="120"/>
    </w:pPr>
    <w:rPr>
      <w:rFonts w:ascii="Aptos" w:hAnsi="Aptos"/>
      <w:color w:val="595959"/>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Permanency Planning &amp; Reunification Learner Guide</dc:title>
  <dc:subject/>
  <dc:creator>SWEEP Academy</dc:creator>
  <cp:keywords/>
  <dc:description>generated by python-docx</dc:description>
  <cp:lastModifiedBy/>
  <cp:revision>1</cp:revision>
  <dcterms:created xsi:type="dcterms:W3CDTF">2013-12-23T23:15:00Z</dcterms:created>
  <dcterms:modified xsi:type="dcterms:W3CDTF">2013-12-23T23:15:00Z</dcterms:modified>
  <cp:category/>
</cp:coreProperties>
</file>