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Cognitive Behavioral Therapy Foundations</w:t>
      </w:r>
    </w:p>
    <w:p>
      <w:pPr>
        <w:spacing w:after="320"/>
      </w:pPr>
      <w:r>
        <w:rPr>
          <w:rFonts w:ascii="Aptos" w:hAnsi="Aptos"/>
          <w:color w:val="595959"/>
          <w:sz w:val="24"/>
        </w:rPr>
        <w:t>Learner guide  |  SWP-005  |  School of Mental Health &amp; Clinical Practice</w:t>
      </w:r>
    </w:p>
    <w:p>
      <w:pPr>
        <w:spacing w:after="200"/>
      </w:pPr>
      <w:r>
        <w:rPr>
          <w:rFonts w:ascii="Aptos" w:hAnsi="Aptos"/>
          <w:color w:val="000000"/>
          <w:sz w:val="23"/>
        </w:rPr>
        <w:t>This guide supports a three-part learning sequence for Cognitive Behavioral Therapy Foundations. By the end of the course, you should be able to explain core CBT concepts and use basic, supervised CBT-informed tools appropriately.</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Explain core CBT concepts and use basic, supervised CBT-informed tools appropriately.</w:t>
      </w:r>
    </w:p>
    <w:p>
      <w:pPr>
        <w:pStyle w:val="ListBullet"/>
        <w:spacing w:after="80"/>
      </w:pPr>
      <w:r>
        <w:rPr>
          <w:rFonts w:ascii="Aptos" w:hAnsi="Aptos"/>
          <w:color w:val="000000"/>
          <w:sz w:val="21"/>
        </w:rPr>
        <w:t>Apply the key ideas from The CBT model.</w:t>
      </w:r>
    </w:p>
    <w:p>
      <w:pPr>
        <w:pStyle w:val="ListBullet"/>
        <w:spacing w:after="80"/>
      </w:pPr>
      <w:r>
        <w:rPr>
          <w:rFonts w:ascii="Aptos" w:hAnsi="Aptos"/>
          <w:color w:val="000000"/>
          <w:sz w:val="21"/>
        </w:rPr>
        <w:t>Apply the key ideas from Core tools.</w:t>
      </w:r>
    </w:p>
    <w:p>
      <w:pPr>
        <w:pStyle w:val="ListBullet"/>
        <w:spacing w:after="80"/>
      </w:pPr>
      <w:r>
        <w:rPr>
          <w:rFonts w:ascii="Aptos" w:hAnsi="Aptos"/>
          <w:color w:val="000000"/>
          <w:sz w:val="21"/>
        </w:rPr>
        <w:t>Apply the key ideas from Ethical application.</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The CBT model</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links among situations, thoughts, emotions, bodily responses, and behaviour</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Core tools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agenda setting, thought records, cognitive reappraisal, behavioural activation, and homework</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Ethical application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collaboration, cultural adaptation, limits of competence, monitoring, and referral</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The CBT model</w:t>
      </w:r>
    </w:p>
    <w:p>
      <w:r>
        <w:rPr>
          <w:rFonts w:ascii="Aptos" w:hAnsi="Aptos"/>
          <w:color w:val="000000"/>
          <w:sz w:val="22"/>
        </w:rPr>
        <w:t>This module focuses on links among situations, thoughts, emotions, bodily responses, and behaviour.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Links among situations</w:t>
      </w:r>
    </w:p>
    <w:p>
      <w:pPr>
        <w:pStyle w:val="ListBullet"/>
        <w:spacing w:after="80"/>
      </w:pPr>
      <w:r>
        <w:rPr>
          <w:rFonts w:ascii="Aptos" w:hAnsi="Aptos"/>
          <w:color w:val="000000"/>
          <w:sz w:val="21"/>
        </w:rPr>
        <w:t>Thoughts</w:t>
      </w:r>
    </w:p>
    <w:p>
      <w:pPr>
        <w:pStyle w:val="ListBullet"/>
        <w:spacing w:after="80"/>
      </w:pPr>
      <w:r>
        <w:rPr>
          <w:rFonts w:ascii="Aptos" w:hAnsi="Aptos"/>
          <w:color w:val="000000"/>
          <w:sz w:val="21"/>
        </w:rPr>
        <w:t>Emotions</w:t>
      </w:r>
    </w:p>
    <w:p>
      <w:pPr>
        <w:pStyle w:val="ListBullet"/>
        <w:spacing w:after="80"/>
      </w:pPr>
      <w:r>
        <w:rPr>
          <w:rFonts w:ascii="Aptos" w:hAnsi="Aptos"/>
          <w:color w:val="000000"/>
          <w:sz w:val="21"/>
        </w:rPr>
        <w:t>Bodily responses</w:t>
      </w:r>
    </w:p>
    <w:p>
      <w:pPr>
        <w:pStyle w:val="ListBullet"/>
        <w:spacing w:after="80"/>
      </w:pPr>
      <w:r>
        <w:rPr>
          <w:rFonts w:ascii="Aptos" w:hAnsi="Aptos"/>
          <w:color w:val="000000"/>
          <w:sz w:val="21"/>
        </w:rPr>
        <w:t>Behaviour</w:t>
      </w:r>
    </w:p>
    <w:p>
      <w:pPr>
        <w:pStyle w:val="Heading2"/>
      </w:pPr>
      <w:r>
        <w:t>Learning sequence</w:t>
      </w:r>
    </w:p>
    <w:p>
      <w:pPr>
        <w:spacing w:after="160"/>
      </w:pPr>
      <w:r>
        <w:rPr>
          <w:rFonts w:ascii="Aptos" w:hAnsi="Aptos"/>
          <w:color w:val="000000"/>
          <w:sz w:val="21"/>
        </w:rPr>
        <w:t>Start by defining the purpose of the cbt model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links among situations, thoughts, emotions, bodily responses, and behaviour.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the cbt model safely, and what would require consultation or a local policy check?</w:t>
      </w:r>
    </w:p>
    <w:p>
      <w:r>
        <w:br w:type="page"/>
      </w:r>
    </w:p>
    <w:p>
      <w:pPr>
        <w:pStyle w:val="Heading1"/>
      </w:pPr>
      <w:r>
        <w:t>Module 2  Core tools</w:t>
      </w:r>
    </w:p>
    <w:p>
      <w:r>
        <w:rPr>
          <w:rFonts w:ascii="Aptos" w:hAnsi="Aptos"/>
          <w:color w:val="000000"/>
          <w:sz w:val="22"/>
        </w:rPr>
        <w:t>This module focuses on agenda setting, thought records, cognitive reappraisal, behavioural activation, and homework.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Agenda setting</w:t>
      </w:r>
    </w:p>
    <w:p>
      <w:pPr>
        <w:pStyle w:val="ListBullet"/>
        <w:spacing w:after="80"/>
      </w:pPr>
      <w:r>
        <w:rPr>
          <w:rFonts w:ascii="Aptos" w:hAnsi="Aptos"/>
          <w:color w:val="000000"/>
          <w:sz w:val="21"/>
        </w:rPr>
        <w:t>Thought records</w:t>
      </w:r>
    </w:p>
    <w:p>
      <w:pPr>
        <w:pStyle w:val="ListBullet"/>
        <w:spacing w:after="80"/>
      </w:pPr>
      <w:r>
        <w:rPr>
          <w:rFonts w:ascii="Aptos" w:hAnsi="Aptos"/>
          <w:color w:val="000000"/>
          <w:sz w:val="21"/>
        </w:rPr>
        <w:t>Cognitive reappraisal</w:t>
      </w:r>
    </w:p>
    <w:p>
      <w:pPr>
        <w:pStyle w:val="ListBullet"/>
        <w:spacing w:after="80"/>
      </w:pPr>
      <w:r>
        <w:rPr>
          <w:rFonts w:ascii="Aptos" w:hAnsi="Aptos"/>
          <w:color w:val="000000"/>
          <w:sz w:val="21"/>
        </w:rPr>
        <w:t>Behavioural activation</w:t>
      </w:r>
    </w:p>
    <w:p>
      <w:pPr>
        <w:pStyle w:val="ListBullet"/>
        <w:spacing w:after="80"/>
      </w:pPr>
      <w:r>
        <w:rPr>
          <w:rFonts w:ascii="Aptos" w:hAnsi="Aptos"/>
          <w:color w:val="000000"/>
          <w:sz w:val="21"/>
        </w:rPr>
        <w:t>Homework</w:t>
      </w:r>
    </w:p>
    <w:p>
      <w:pPr>
        <w:pStyle w:val="Heading2"/>
      </w:pPr>
      <w:r>
        <w:t>Learning sequence</w:t>
      </w:r>
    </w:p>
    <w:p>
      <w:pPr>
        <w:spacing w:after="160"/>
      </w:pPr>
      <w:r>
        <w:rPr>
          <w:rFonts w:ascii="Aptos" w:hAnsi="Aptos"/>
          <w:color w:val="000000"/>
          <w:sz w:val="21"/>
        </w:rPr>
        <w:t>Start by defining the purpose of core tools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agenda setting, thought records, cognitive reappraisal, behavioural activation, and homework.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core tools safely, and what would require consultation or a local policy check?</w:t>
      </w:r>
    </w:p>
    <w:p>
      <w:r>
        <w:br w:type="page"/>
      </w:r>
    </w:p>
    <w:p>
      <w:pPr>
        <w:pStyle w:val="Heading1"/>
      </w:pPr>
      <w:r>
        <w:t>Module 3  Ethical application</w:t>
      </w:r>
    </w:p>
    <w:p>
      <w:r>
        <w:rPr>
          <w:rFonts w:ascii="Aptos" w:hAnsi="Aptos"/>
          <w:color w:val="000000"/>
          <w:sz w:val="22"/>
        </w:rPr>
        <w:t>This module focuses on collaboration, cultural adaptation, limits of competence, monitoring, and referral.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Collaboration</w:t>
      </w:r>
    </w:p>
    <w:p>
      <w:pPr>
        <w:pStyle w:val="ListBullet"/>
        <w:spacing w:after="80"/>
      </w:pPr>
      <w:r>
        <w:rPr>
          <w:rFonts w:ascii="Aptos" w:hAnsi="Aptos"/>
          <w:color w:val="000000"/>
          <w:sz w:val="21"/>
        </w:rPr>
        <w:t>Cultural adaptation</w:t>
      </w:r>
    </w:p>
    <w:p>
      <w:pPr>
        <w:pStyle w:val="ListBullet"/>
        <w:spacing w:after="80"/>
      </w:pPr>
      <w:r>
        <w:rPr>
          <w:rFonts w:ascii="Aptos" w:hAnsi="Aptos"/>
          <w:color w:val="000000"/>
          <w:sz w:val="21"/>
        </w:rPr>
        <w:t>Limits of competence</w:t>
      </w:r>
    </w:p>
    <w:p>
      <w:pPr>
        <w:pStyle w:val="ListBullet"/>
        <w:spacing w:after="80"/>
      </w:pPr>
      <w:r>
        <w:rPr>
          <w:rFonts w:ascii="Aptos" w:hAnsi="Aptos"/>
          <w:color w:val="000000"/>
          <w:sz w:val="21"/>
        </w:rPr>
        <w:t>Monitoring</w:t>
      </w:r>
    </w:p>
    <w:p>
      <w:pPr>
        <w:pStyle w:val="ListBullet"/>
        <w:spacing w:after="80"/>
      </w:pPr>
      <w:r>
        <w:rPr>
          <w:rFonts w:ascii="Aptos" w:hAnsi="Aptos"/>
          <w:color w:val="000000"/>
          <w:sz w:val="21"/>
        </w:rPr>
        <w:t>Referral</w:t>
      </w:r>
    </w:p>
    <w:p>
      <w:pPr>
        <w:pStyle w:val="Heading2"/>
      </w:pPr>
      <w:r>
        <w:t>Learning sequence</w:t>
      </w:r>
    </w:p>
    <w:p>
      <w:pPr>
        <w:spacing w:after="160"/>
      </w:pPr>
      <w:r>
        <w:rPr>
          <w:rFonts w:ascii="Aptos" w:hAnsi="Aptos"/>
          <w:color w:val="000000"/>
          <w:sz w:val="21"/>
        </w:rPr>
        <w:t>Start by defining the purpose of ethical application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collaboration, cultural adaptation, limits of competence, monitoring, and referral.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ethical application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cognitive triangle.</w:t>
      </w:r>
    </w:p>
    <w:p>
      <w:pPr>
        <w:pStyle w:val="ListBullet"/>
        <w:spacing w:after="80"/>
      </w:pPr>
      <w:r>
        <w:rPr>
          <w:rFonts w:ascii="Aptos" w:hAnsi="Aptos"/>
          <w:color w:val="000000"/>
          <w:sz w:val="21"/>
        </w:rPr>
        <w:t>Review the distinction between: tool selection.</w:t>
      </w:r>
    </w:p>
    <w:p>
      <w:pPr>
        <w:pStyle w:val="ListBullet"/>
        <w:spacing w:after="80"/>
      </w:pPr>
      <w:r>
        <w:rPr>
          <w:rFonts w:ascii="Aptos" w:hAnsi="Aptos"/>
          <w:color w:val="000000"/>
          <w:sz w:val="21"/>
        </w:rPr>
        <w:t>Review the distinction between: collaborative practice.</w:t>
      </w:r>
    </w:p>
    <w:p>
      <w:pPr>
        <w:pStyle w:val="ListBullet"/>
        <w:spacing w:after="80"/>
      </w:pPr>
      <w:r>
        <w:rPr>
          <w:rFonts w:ascii="Aptos" w:hAnsi="Aptos"/>
          <w:color w:val="000000"/>
          <w:sz w:val="21"/>
        </w:rPr>
        <w:t>Review the distinction between: scope limits.</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Cognitive Behavioral Therapy Foundations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