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Crisis Stabilization &amp; Safety Planning</w:t>
      </w:r>
    </w:p>
    <w:p>
      <w:pPr>
        <w:spacing w:after="320"/>
      </w:pPr>
      <w:r>
        <w:rPr>
          <w:rFonts w:ascii="Aptos" w:hAnsi="Aptos"/>
          <w:color w:val="595959"/>
          <w:sz w:val="24"/>
        </w:rPr>
        <w:t>Learner guide  |  SWP-006  |  School of Mental Health &amp; Clinical Practice</w:t>
      </w:r>
    </w:p>
    <w:p>
      <w:pPr>
        <w:spacing w:after="200"/>
      </w:pPr>
      <w:r>
        <w:rPr>
          <w:rFonts w:ascii="Aptos" w:hAnsi="Aptos"/>
          <w:color w:val="000000"/>
          <w:sz w:val="23"/>
        </w:rPr>
        <w:t>This guide supports a three-part learning sequence for Crisis Stabilization &amp; Safety Planning. By the end of the course, you should be able to respond to acute distress using de-escalation, risk assessment, and collaborative safety planning.</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Respond to acute distress using de-escalation, risk assessment, and collaborative safety planning.</w:t>
      </w:r>
    </w:p>
    <w:p>
      <w:pPr>
        <w:pStyle w:val="ListBullet"/>
        <w:spacing w:after="80"/>
      </w:pPr>
      <w:r>
        <w:rPr>
          <w:rFonts w:ascii="Aptos" w:hAnsi="Aptos"/>
          <w:color w:val="000000"/>
          <w:sz w:val="21"/>
        </w:rPr>
        <w:t>Apply the key ideas from Crisis recognition and triage.</w:t>
      </w:r>
    </w:p>
    <w:p>
      <w:pPr>
        <w:pStyle w:val="ListBullet"/>
        <w:spacing w:after="80"/>
      </w:pPr>
      <w:r>
        <w:rPr>
          <w:rFonts w:ascii="Aptos" w:hAnsi="Aptos"/>
          <w:color w:val="000000"/>
          <w:sz w:val="21"/>
        </w:rPr>
        <w:t>Apply the key ideas from De-escalation and engagement.</w:t>
      </w:r>
    </w:p>
    <w:p>
      <w:pPr>
        <w:pStyle w:val="ListBullet"/>
        <w:spacing w:after="80"/>
      </w:pPr>
      <w:r>
        <w:rPr>
          <w:rFonts w:ascii="Aptos" w:hAnsi="Aptos"/>
          <w:color w:val="000000"/>
          <w:sz w:val="21"/>
        </w:rPr>
        <w:t>Apply the key ideas from Safety planning and follow-up.</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Crisis recognition and triage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acute risk, protective factors, emergency thresholds, and local escalation routes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De-escalation and engagement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communication, environment, grounding, and maintaining professional boundaries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Safety planning and follow-up</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warning signs, coping actions, contacts, means-safety discussion, documentation, and warm handover</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Crisis recognition and triage</w:t>
      </w:r>
    </w:p>
    <w:p>
      <w:r>
        <w:rPr>
          <w:rFonts w:ascii="Aptos" w:hAnsi="Aptos"/>
          <w:color w:val="000000"/>
          <w:sz w:val="22"/>
        </w:rPr>
        <w:t>This module focuses on acute risk, protective factors, emergency thresholds, and local escalation routes.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Acute risk</w:t>
      </w:r>
    </w:p>
    <w:p>
      <w:pPr>
        <w:pStyle w:val="ListBullet"/>
        <w:spacing w:after="80"/>
      </w:pPr>
      <w:r>
        <w:rPr>
          <w:rFonts w:ascii="Aptos" w:hAnsi="Aptos"/>
          <w:color w:val="000000"/>
          <w:sz w:val="21"/>
        </w:rPr>
        <w:t>Protective factors</w:t>
      </w:r>
    </w:p>
    <w:p>
      <w:pPr>
        <w:pStyle w:val="ListBullet"/>
        <w:spacing w:after="80"/>
      </w:pPr>
      <w:r>
        <w:rPr>
          <w:rFonts w:ascii="Aptos" w:hAnsi="Aptos"/>
          <w:color w:val="000000"/>
          <w:sz w:val="21"/>
        </w:rPr>
        <w:t>Emergency thresholds</w:t>
      </w:r>
    </w:p>
    <w:p>
      <w:pPr>
        <w:pStyle w:val="ListBullet"/>
        <w:spacing w:after="80"/>
      </w:pPr>
      <w:r>
        <w:rPr>
          <w:rFonts w:ascii="Aptos" w:hAnsi="Aptos"/>
          <w:color w:val="000000"/>
          <w:sz w:val="21"/>
        </w:rPr>
        <w:t>Local escalation routes</w:t>
      </w:r>
    </w:p>
    <w:p>
      <w:pPr>
        <w:pStyle w:val="Heading2"/>
      </w:pPr>
      <w:r>
        <w:t>Learning sequence</w:t>
      </w:r>
    </w:p>
    <w:p>
      <w:pPr>
        <w:spacing w:after="160"/>
      </w:pPr>
      <w:r>
        <w:rPr>
          <w:rFonts w:ascii="Aptos" w:hAnsi="Aptos"/>
          <w:color w:val="000000"/>
          <w:sz w:val="21"/>
        </w:rPr>
        <w:t>Start by defining the purpose of crisis recognition and triage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acute risk, protective factors, emergency thresholds, and local escalation routes.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crisis recognition and triage safely, and what would require consultation or a local policy check?</w:t>
      </w:r>
    </w:p>
    <w:p>
      <w:r>
        <w:br w:type="page"/>
      </w:r>
    </w:p>
    <w:p>
      <w:pPr>
        <w:pStyle w:val="Heading1"/>
      </w:pPr>
      <w:r>
        <w:t>Module 2  De-escalation and engagement</w:t>
      </w:r>
    </w:p>
    <w:p>
      <w:r>
        <w:rPr>
          <w:rFonts w:ascii="Aptos" w:hAnsi="Aptos"/>
          <w:color w:val="000000"/>
          <w:sz w:val="22"/>
        </w:rPr>
        <w:t>This module focuses on communication, environment, grounding, and maintaining professional boundaries.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Communication</w:t>
      </w:r>
    </w:p>
    <w:p>
      <w:pPr>
        <w:pStyle w:val="ListBullet"/>
        <w:spacing w:after="80"/>
      </w:pPr>
      <w:r>
        <w:rPr>
          <w:rFonts w:ascii="Aptos" w:hAnsi="Aptos"/>
          <w:color w:val="000000"/>
          <w:sz w:val="21"/>
        </w:rPr>
        <w:t>Environment</w:t>
      </w:r>
    </w:p>
    <w:p>
      <w:pPr>
        <w:pStyle w:val="ListBullet"/>
        <w:spacing w:after="80"/>
      </w:pPr>
      <w:r>
        <w:rPr>
          <w:rFonts w:ascii="Aptos" w:hAnsi="Aptos"/>
          <w:color w:val="000000"/>
          <w:sz w:val="21"/>
        </w:rPr>
        <w:t>Grounding</w:t>
      </w:r>
    </w:p>
    <w:p>
      <w:pPr>
        <w:pStyle w:val="ListBullet"/>
        <w:spacing w:after="80"/>
      </w:pPr>
      <w:r>
        <w:rPr>
          <w:rFonts w:ascii="Aptos" w:hAnsi="Aptos"/>
          <w:color w:val="000000"/>
          <w:sz w:val="21"/>
        </w:rPr>
        <w:t>Maintaining professional boundaries</w:t>
      </w:r>
    </w:p>
    <w:p>
      <w:pPr>
        <w:pStyle w:val="Heading2"/>
      </w:pPr>
      <w:r>
        <w:t>Learning sequence</w:t>
      </w:r>
    </w:p>
    <w:p>
      <w:pPr>
        <w:spacing w:after="160"/>
      </w:pPr>
      <w:r>
        <w:rPr>
          <w:rFonts w:ascii="Aptos" w:hAnsi="Aptos"/>
          <w:color w:val="000000"/>
          <w:sz w:val="21"/>
        </w:rPr>
        <w:t>Start by defining the purpose of de-escalation and engagement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communication, environment, grounding, and maintaining professional boundaries.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de-escalation and engagement safely, and what would require consultation or a local policy check?</w:t>
      </w:r>
    </w:p>
    <w:p>
      <w:r>
        <w:br w:type="page"/>
      </w:r>
    </w:p>
    <w:p>
      <w:pPr>
        <w:pStyle w:val="Heading1"/>
      </w:pPr>
      <w:r>
        <w:t>Module 3  Safety planning and follow-up</w:t>
      </w:r>
    </w:p>
    <w:p>
      <w:r>
        <w:rPr>
          <w:rFonts w:ascii="Aptos" w:hAnsi="Aptos"/>
          <w:color w:val="000000"/>
          <w:sz w:val="22"/>
        </w:rPr>
        <w:t>This module focuses on warning signs, coping actions, contacts, means-safety discussion, documentation, and warm handover.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Warning signs</w:t>
      </w:r>
    </w:p>
    <w:p>
      <w:pPr>
        <w:pStyle w:val="ListBullet"/>
        <w:spacing w:after="80"/>
      </w:pPr>
      <w:r>
        <w:rPr>
          <w:rFonts w:ascii="Aptos" w:hAnsi="Aptos"/>
          <w:color w:val="000000"/>
          <w:sz w:val="21"/>
        </w:rPr>
        <w:t>Coping actions</w:t>
      </w:r>
    </w:p>
    <w:p>
      <w:pPr>
        <w:pStyle w:val="ListBullet"/>
        <w:spacing w:after="80"/>
      </w:pPr>
      <w:r>
        <w:rPr>
          <w:rFonts w:ascii="Aptos" w:hAnsi="Aptos"/>
          <w:color w:val="000000"/>
          <w:sz w:val="21"/>
        </w:rPr>
        <w:t>Contacts</w:t>
      </w:r>
    </w:p>
    <w:p>
      <w:pPr>
        <w:pStyle w:val="ListBullet"/>
        <w:spacing w:after="80"/>
      </w:pPr>
      <w:r>
        <w:rPr>
          <w:rFonts w:ascii="Aptos" w:hAnsi="Aptos"/>
          <w:color w:val="000000"/>
          <w:sz w:val="21"/>
        </w:rPr>
        <w:t>Means-safety discussion</w:t>
      </w:r>
    </w:p>
    <w:p>
      <w:pPr>
        <w:pStyle w:val="ListBullet"/>
        <w:spacing w:after="80"/>
      </w:pPr>
      <w:r>
        <w:rPr>
          <w:rFonts w:ascii="Aptos" w:hAnsi="Aptos"/>
          <w:color w:val="000000"/>
          <w:sz w:val="21"/>
        </w:rPr>
        <w:t>Documentation</w:t>
      </w:r>
    </w:p>
    <w:p>
      <w:pPr>
        <w:pStyle w:val="ListBullet"/>
        <w:spacing w:after="80"/>
      </w:pPr>
      <w:r>
        <w:rPr>
          <w:rFonts w:ascii="Aptos" w:hAnsi="Aptos"/>
          <w:color w:val="000000"/>
          <w:sz w:val="21"/>
        </w:rPr>
        <w:t>Warm handover</w:t>
      </w:r>
    </w:p>
    <w:p>
      <w:pPr>
        <w:pStyle w:val="Heading2"/>
      </w:pPr>
      <w:r>
        <w:t>Learning sequence</w:t>
      </w:r>
    </w:p>
    <w:p>
      <w:pPr>
        <w:spacing w:after="160"/>
      </w:pPr>
      <w:r>
        <w:rPr>
          <w:rFonts w:ascii="Aptos" w:hAnsi="Aptos"/>
          <w:color w:val="000000"/>
          <w:sz w:val="21"/>
        </w:rPr>
        <w:t>Start by defining the purpose of safety planning and follow-up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warning signs, coping actions, contacts, means-safety discussion, documentation, and warm handover.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safety planning and follow-up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triage.</w:t>
      </w:r>
    </w:p>
    <w:p>
      <w:pPr>
        <w:pStyle w:val="ListBullet"/>
        <w:spacing w:after="80"/>
      </w:pPr>
      <w:r>
        <w:rPr>
          <w:rFonts w:ascii="Aptos" w:hAnsi="Aptos"/>
          <w:color w:val="000000"/>
          <w:sz w:val="21"/>
        </w:rPr>
        <w:t>Review the distinction between: de-escalation.</w:t>
      </w:r>
    </w:p>
    <w:p>
      <w:pPr>
        <w:pStyle w:val="ListBullet"/>
        <w:spacing w:after="80"/>
      </w:pPr>
      <w:r>
        <w:rPr>
          <w:rFonts w:ascii="Aptos" w:hAnsi="Aptos"/>
          <w:color w:val="000000"/>
          <w:sz w:val="21"/>
        </w:rPr>
        <w:t>Review the distinction between: safety-plan elements.</w:t>
      </w:r>
    </w:p>
    <w:p>
      <w:pPr>
        <w:pStyle w:val="ListBullet"/>
        <w:spacing w:after="80"/>
      </w:pPr>
      <w:r>
        <w:rPr>
          <w:rFonts w:ascii="Aptos" w:hAnsi="Aptos"/>
          <w:color w:val="000000"/>
          <w:sz w:val="21"/>
        </w:rPr>
        <w:t>Review the distinction between: referral thresholds.</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 Stabilization &amp; Safety Planning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