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Motivational Interviewing</w:t>
      </w:r>
    </w:p>
    <w:p>
      <w:pPr>
        <w:spacing w:after="320"/>
      </w:pPr>
      <w:r>
        <w:rPr>
          <w:rFonts w:ascii="Aptos" w:hAnsi="Aptos"/>
          <w:color w:val="595959"/>
          <w:sz w:val="24"/>
        </w:rPr>
        <w:t>Learner guide  |  SWP-008  |  School of Substance Use &amp; Addiction Recovery</w:t>
      </w:r>
    </w:p>
    <w:p>
      <w:pPr>
        <w:spacing w:after="200"/>
      </w:pPr>
      <w:r>
        <w:rPr>
          <w:rFonts w:ascii="Aptos" w:hAnsi="Aptos"/>
          <w:color w:val="000000"/>
          <w:sz w:val="23"/>
        </w:rPr>
        <w:t>This guide supports a three-part learning sequence for Motivational Interviewing. By the end of the course, you should be able to use the spirit and core communication skills of motivational interviewing in appropriate settings.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Use the spirit and core communication skills of motivational interviewing in appropriate settings.</w:t>
      </w:r>
    </w:p>
    <w:p>
      <w:pPr>
        <w:pStyle w:val="ListBullet"/>
        <w:spacing w:after="80"/>
      </w:pPr>
      <w:r>
        <w:rPr>
          <w:rFonts w:ascii="Aptos" w:hAnsi="Aptos"/>
          <w:color w:val="000000"/>
          <w:sz w:val="21"/>
        </w:rPr>
        <w:t>Apply the key ideas from MI spirit.</w:t>
      </w:r>
    </w:p>
    <w:p>
      <w:pPr>
        <w:pStyle w:val="ListBullet"/>
        <w:spacing w:after="80"/>
      </w:pPr>
      <w:r>
        <w:rPr>
          <w:rFonts w:ascii="Aptos" w:hAnsi="Aptos"/>
          <w:color w:val="000000"/>
          <w:sz w:val="21"/>
        </w:rPr>
        <w:t>Apply the key ideas from OARS skills.</w:t>
      </w:r>
    </w:p>
    <w:p>
      <w:pPr>
        <w:pStyle w:val="ListBullet"/>
        <w:spacing w:after="80"/>
      </w:pPr>
      <w:r>
        <w:rPr>
          <w:rFonts w:ascii="Aptos" w:hAnsi="Aptos"/>
          <w:color w:val="000000"/>
          <w:sz w:val="21"/>
        </w:rPr>
        <w:t>Apply the key ideas from Planning change.</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MI spirit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partnership, acceptance, compassion, evocation, autonomy, and avoiding the righting reflex</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OARS skills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open questions, affirmations, reflections, summaries, and listening for change talk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Planning change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responding to ambivalence, eliciting commitment language, goal setting, and referral</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MI spirit</w:t>
      </w:r>
    </w:p>
    <w:p>
      <w:r>
        <w:rPr>
          <w:rFonts w:ascii="Aptos" w:hAnsi="Aptos"/>
          <w:color w:val="000000"/>
          <w:sz w:val="22"/>
        </w:rPr>
        <w:t>This module focuses on partnership, acceptance, compassion, evocation, autonomy, and avoiding the righting reflex.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Partnership</w:t>
      </w:r>
    </w:p>
    <w:p>
      <w:pPr>
        <w:pStyle w:val="ListBullet"/>
        <w:spacing w:after="80"/>
      </w:pPr>
      <w:r>
        <w:rPr>
          <w:rFonts w:ascii="Aptos" w:hAnsi="Aptos"/>
          <w:color w:val="000000"/>
          <w:sz w:val="21"/>
        </w:rPr>
        <w:t>Acceptance</w:t>
      </w:r>
    </w:p>
    <w:p>
      <w:pPr>
        <w:pStyle w:val="ListBullet"/>
        <w:spacing w:after="80"/>
      </w:pPr>
      <w:r>
        <w:rPr>
          <w:rFonts w:ascii="Aptos" w:hAnsi="Aptos"/>
          <w:color w:val="000000"/>
          <w:sz w:val="21"/>
        </w:rPr>
        <w:t>Compassion</w:t>
      </w:r>
    </w:p>
    <w:p>
      <w:pPr>
        <w:pStyle w:val="ListBullet"/>
        <w:spacing w:after="80"/>
      </w:pPr>
      <w:r>
        <w:rPr>
          <w:rFonts w:ascii="Aptos" w:hAnsi="Aptos"/>
          <w:color w:val="000000"/>
          <w:sz w:val="21"/>
        </w:rPr>
        <w:t>Evocation</w:t>
      </w:r>
    </w:p>
    <w:p>
      <w:pPr>
        <w:pStyle w:val="ListBullet"/>
        <w:spacing w:after="80"/>
      </w:pPr>
      <w:r>
        <w:rPr>
          <w:rFonts w:ascii="Aptos" w:hAnsi="Aptos"/>
          <w:color w:val="000000"/>
          <w:sz w:val="21"/>
        </w:rPr>
        <w:t>Autonomy</w:t>
      </w:r>
    </w:p>
    <w:p>
      <w:pPr>
        <w:pStyle w:val="ListBullet"/>
        <w:spacing w:after="80"/>
      </w:pPr>
      <w:r>
        <w:rPr>
          <w:rFonts w:ascii="Aptos" w:hAnsi="Aptos"/>
          <w:color w:val="000000"/>
          <w:sz w:val="21"/>
        </w:rPr>
        <w:t>Avoiding the righting reflex</w:t>
      </w:r>
    </w:p>
    <w:p>
      <w:pPr>
        <w:pStyle w:val="Heading2"/>
      </w:pPr>
      <w:r>
        <w:t>Learning sequence</w:t>
      </w:r>
    </w:p>
    <w:p>
      <w:pPr>
        <w:spacing w:after="160"/>
      </w:pPr>
      <w:r>
        <w:rPr>
          <w:rFonts w:ascii="Aptos" w:hAnsi="Aptos"/>
          <w:color w:val="000000"/>
          <w:sz w:val="21"/>
        </w:rPr>
        <w:t>Start by defining the purpose of mi spirit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partnership, acceptance, compassion, evocation, autonomy, and avoiding the righting reflex.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mi spirit safely, and what would require consultation or a local policy check?</w:t>
      </w:r>
    </w:p>
    <w:p>
      <w:r>
        <w:br w:type="page"/>
      </w:r>
    </w:p>
    <w:p>
      <w:pPr>
        <w:pStyle w:val="Heading1"/>
      </w:pPr>
      <w:r>
        <w:t>Module 2  OARS skills</w:t>
      </w:r>
    </w:p>
    <w:p>
      <w:r>
        <w:rPr>
          <w:rFonts w:ascii="Aptos" w:hAnsi="Aptos"/>
          <w:color w:val="000000"/>
          <w:sz w:val="22"/>
        </w:rPr>
        <w:t>This module focuses on open questions, affirmations, reflections, summaries, and listening for change talk.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Open questions</w:t>
      </w:r>
    </w:p>
    <w:p>
      <w:pPr>
        <w:pStyle w:val="ListBullet"/>
        <w:spacing w:after="80"/>
      </w:pPr>
      <w:r>
        <w:rPr>
          <w:rFonts w:ascii="Aptos" w:hAnsi="Aptos"/>
          <w:color w:val="000000"/>
          <w:sz w:val="21"/>
        </w:rPr>
        <w:t>Affirmations</w:t>
      </w:r>
    </w:p>
    <w:p>
      <w:pPr>
        <w:pStyle w:val="ListBullet"/>
        <w:spacing w:after="80"/>
      </w:pPr>
      <w:r>
        <w:rPr>
          <w:rFonts w:ascii="Aptos" w:hAnsi="Aptos"/>
          <w:color w:val="000000"/>
          <w:sz w:val="21"/>
        </w:rPr>
        <w:t>Reflections</w:t>
      </w:r>
    </w:p>
    <w:p>
      <w:pPr>
        <w:pStyle w:val="ListBullet"/>
        <w:spacing w:after="80"/>
      </w:pPr>
      <w:r>
        <w:rPr>
          <w:rFonts w:ascii="Aptos" w:hAnsi="Aptos"/>
          <w:color w:val="000000"/>
          <w:sz w:val="21"/>
        </w:rPr>
        <w:t>Summaries</w:t>
      </w:r>
    </w:p>
    <w:p>
      <w:pPr>
        <w:pStyle w:val="ListBullet"/>
        <w:spacing w:after="80"/>
      </w:pPr>
      <w:r>
        <w:rPr>
          <w:rFonts w:ascii="Aptos" w:hAnsi="Aptos"/>
          <w:color w:val="000000"/>
          <w:sz w:val="21"/>
        </w:rPr>
        <w:t>Listening for change talk</w:t>
      </w:r>
    </w:p>
    <w:p>
      <w:pPr>
        <w:pStyle w:val="Heading2"/>
      </w:pPr>
      <w:r>
        <w:t>Learning sequence</w:t>
      </w:r>
    </w:p>
    <w:p>
      <w:pPr>
        <w:spacing w:after="160"/>
      </w:pPr>
      <w:r>
        <w:rPr>
          <w:rFonts w:ascii="Aptos" w:hAnsi="Aptos"/>
          <w:color w:val="000000"/>
          <w:sz w:val="21"/>
        </w:rPr>
        <w:t>Start by defining the purpose of oars skills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open questions, affirmations, reflections, summaries, and listening for change talk.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oars skills safely, and what would require consultation or a local policy check?</w:t>
      </w:r>
    </w:p>
    <w:p>
      <w:r>
        <w:br w:type="page"/>
      </w:r>
    </w:p>
    <w:p>
      <w:pPr>
        <w:pStyle w:val="Heading1"/>
      </w:pPr>
      <w:r>
        <w:t>Module 3  Planning change</w:t>
      </w:r>
    </w:p>
    <w:p>
      <w:r>
        <w:rPr>
          <w:rFonts w:ascii="Aptos" w:hAnsi="Aptos"/>
          <w:color w:val="000000"/>
          <w:sz w:val="22"/>
        </w:rPr>
        <w:t>This module focuses on responding to ambivalence, eliciting commitment language, goal setting, and referral.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Responding to ambivalence</w:t>
      </w:r>
    </w:p>
    <w:p>
      <w:pPr>
        <w:pStyle w:val="ListBullet"/>
        <w:spacing w:after="80"/>
      </w:pPr>
      <w:r>
        <w:rPr>
          <w:rFonts w:ascii="Aptos" w:hAnsi="Aptos"/>
          <w:color w:val="000000"/>
          <w:sz w:val="21"/>
        </w:rPr>
        <w:t>Eliciting commitment language</w:t>
      </w:r>
    </w:p>
    <w:p>
      <w:pPr>
        <w:pStyle w:val="ListBullet"/>
        <w:spacing w:after="80"/>
      </w:pPr>
      <w:r>
        <w:rPr>
          <w:rFonts w:ascii="Aptos" w:hAnsi="Aptos"/>
          <w:color w:val="000000"/>
          <w:sz w:val="21"/>
        </w:rPr>
        <w:t>Goal setting</w:t>
      </w:r>
    </w:p>
    <w:p>
      <w:pPr>
        <w:pStyle w:val="ListBullet"/>
        <w:spacing w:after="80"/>
      </w:pPr>
      <w:r>
        <w:rPr>
          <w:rFonts w:ascii="Aptos" w:hAnsi="Aptos"/>
          <w:color w:val="000000"/>
          <w:sz w:val="21"/>
        </w:rPr>
        <w:t>Referral</w:t>
      </w:r>
    </w:p>
    <w:p>
      <w:pPr>
        <w:pStyle w:val="Heading2"/>
      </w:pPr>
      <w:r>
        <w:t>Learning sequence</w:t>
      </w:r>
    </w:p>
    <w:p>
      <w:pPr>
        <w:spacing w:after="160"/>
      </w:pPr>
      <w:r>
        <w:rPr>
          <w:rFonts w:ascii="Aptos" w:hAnsi="Aptos"/>
          <w:color w:val="000000"/>
          <w:sz w:val="21"/>
        </w:rPr>
        <w:t>Start by defining the purpose of planning change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responding to ambivalence, eliciting commitment language, goal setting, and referral.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planning change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MI spirit.</w:t>
      </w:r>
    </w:p>
    <w:p>
      <w:pPr>
        <w:pStyle w:val="ListBullet"/>
        <w:spacing w:after="80"/>
      </w:pPr>
      <w:r>
        <w:rPr>
          <w:rFonts w:ascii="Aptos" w:hAnsi="Aptos"/>
          <w:color w:val="000000"/>
          <w:sz w:val="21"/>
        </w:rPr>
        <w:t>Review the distinction between: OARS.</w:t>
      </w:r>
    </w:p>
    <w:p>
      <w:pPr>
        <w:pStyle w:val="ListBullet"/>
        <w:spacing w:after="80"/>
      </w:pPr>
      <w:r>
        <w:rPr>
          <w:rFonts w:ascii="Aptos" w:hAnsi="Aptos"/>
          <w:color w:val="000000"/>
          <w:sz w:val="21"/>
        </w:rPr>
        <w:t>Review the distinction between: change talk.</w:t>
      </w:r>
    </w:p>
    <w:p>
      <w:pPr>
        <w:pStyle w:val="ListBullet"/>
        <w:spacing w:after="80"/>
      </w:pPr>
      <w:r>
        <w:rPr>
          <w:rFonts w:ascii="Aptos" w:hAnsi="Aptos"/>
          <w:color w:val="000000"/>
          <w:sz w:val="21"/>
        </w:rPr>
        <w:t>Review the distinction between: responses to resistance.</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Motivational Interviewing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