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Recovery-Oriented Systems of Care</w:t>
      </w:r>
    </w:p>
    <w:p>
      <w:pPr>
        <w:spacing w:after="320"/>
      </w:pPr>
      <w:r>
        <w:rPr>
          <w:rFonts w:ascii="Aptos" w:hAnsi="Aptos"/>
          <w:color w:val="595959"/>
          <w:sz w:val="24"/>
        </w:rPr>
        <w:t>Learner guide  |  SWP-009  |  School of Substance Use &amp; Addiction Recovery</w:t>
      </w:r>
    </w:p>
    <w:p>
      <w:pPr>
        <w:spacing w:after="200"/>
      </w:pPr>
      <w:r>
        <w:rPr>
          <w:rFonts w:ascii="Aptos" w:hAnsi="Aptos"/>
          <w:color w:val="000000"/>
          <w:sz w:val="23"/>
        </w:rPr>
        <w:t>This guide supports a three-part learning sequence for Recovery-Oriented Systems of Care. By the end of the course, you should be able to coordinate strengths-based, long-term recovery supports across systems.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Coordinate strengths-based, long-term recovery supports across systems.</w:t>
      </w:r>
    </w:p>
    <w:p>
      <w:pPr>
        <w:pStyle w:val="ListBullet"/>
        <w:spacing w:after="80"/>
      </w:pPr>
      <w:r>
        <w:rPr>
          <w:rFonts w:ascii="Aptos" w:hAnsi="Aptos"/>
          <w:color w:val="000000"/>
          <w:sz w:val="21"/>
        </w:rPr>
        <w:t>Apply the key ideas from Recovery orientation.</w:t>
      </w:r>
    </w:p>
    <w:p>
      <w:pPr>
        <w:pStyle w:val="ListBullet"/>
        <w:spacing w:after="80"/>
      </w:pPr>
      <w:r>
        <w:rPr>
          <w:rFonts w:ascii="Aptos" w:hAnsi="Aptos"/>
          <w:color w:val="000000"/>
          <w:sz w:val="21"/>
        </w:rPr>
        <w:t>Apply the key ideas from Coordinated support.</w:t>
      </w:r>
    </w:p>
    <w:p>
      <w:pPr>
        <w:pStyle w:val="ListBullet"/>
        <w:spacing w:after="80"/>
      </w:pPr>
      <w:r>
        <w:rPr>
          <w:rFonts w:ascii="Aptos" w:hAnsi="Aptos"/>
          <w:color w:val="000000"/>
          <w:sz w:val="21"/>
        </w:rPr>
        <w:t>Apply the key ideas from Sustaining recovery.</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Recovery orientation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recovery capital, person-defined goals, peer support, and anti-stigma practice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Coordinated support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housing, employment, family, health, legal, and community supports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Sustaining recovery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relapse-prevention planning, continuity of care, outcome monitoring, and lived-experience leadership</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Recovery orientation</w:t>
      </w:r>
    </w:p>
    <w:p>
      <w:r>
        <w:rPr>
          <w:rFonts w:ascii="Aptos" w:hAnsi="Aptos"/>
          <w:color w:val="000000"/>
          <w:sz w:val="22"/>
        </w:rPr>
        <w:t>This module focuses on recovery capital, person-defined goals, peer support, and anti-stigma practice.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Recovery capital</w:t>
      </w:r>
    </w:p>
    <w:p>
      <w:pPr>
        <w:pStyle w:val="ListBullet"/>
        <w:spacing w:after="80"/>
      </w:pPr>
      <w:r>
        <w:rPr>
          <w:rFonts w:ascii="Aptos" w:hAnsi="Aptos"/>
          <w:color w:val="000000"/>
          <w:sz w:val="21"/>
        </w:rPr>
        <w:t>Person-defined goals</w:t>
      </w:r>
    </w:p>
    <w:p>
      <w:pPr>
        <w:pStyle w:val="ListBullet"/>
        <w:spacing w:after="80"/>
      </w:pPr>
      <w:r>
        <w:rPr>
          <w:rFonts w:ascii="Aptos" w:hAnsi="Aptos"/>
          <w:color w:val="000000"/>
          <w:sz w:val="21"/>
        </w:rPr>
        <w:t>Peer support</w:t>
      </w:r>
    </w:p>
    <w:p>
      <w:pPr>
        <w:pStyle w:val="ListBullet"/>
        <w:spacing w:after="80"/>
      </w:pPr>
      <w:r>
        <w:rPr>
          <w:rFonts w:ascii="Aptos" w:hAnsi="Aptos"/>
          <w:color w:val="000000"/>
          <w:sz w:val="21"/>
        </w:rPr>
        <w:t>Anti-stigma practice</w:t>
      </w:r>
    </w:p>
    <w:p>
      <w:pPr>
        <w:pStyle w:val="Heading2"/>
      </w:pPr>
      <w:r>
        <w:t>Learning sequence</w:t>
      </w:r>
    </w:p>
    <w:p>
      <w:pPr>
        <w:spacing w:after="160"/>
      </w:pPr>
      <w:r>
        <w:rPr>
          <w:rFonts w:ascii="Aptos" w:hAnsi="Aptos"/>
          <w:color w:val="000000"/>
          <w:sz w:val="21"/>
        </w:rPr>
        <w:t>Start by defining the purpose of recovery orientation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recovery capital, person-defined goals, peer support, and anti-stigma practice.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recovery orientation safely, and what would require consultation or a local policy check?</w:t>
      </w:r>
    </w:p>
    <w:p>
      <w:r>
        <w:br w:type="page"/>
      </w:r>
    </w:p>
    <w:p>
      <w:pPr>
        <w:pStyle w:val="Heading1"/>
      </w:pPr>
      <w:r>
        <w:t>Module 2  Coordinated support</w:t>
      </w:r>
    </w:p>
    <w:p>
      <w:r>
        <w:rPr>
          <w:rFonts w:ascii="Aptos" w:hAnsi="Aptos"/>
          <w:color w:val="000000"/>
          <w:sz w:val="22"/>
        </w:rPr>
        <w:t>This module focuses on housing, employment, family, health, legal, and community supports.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Housing</w:t>
      </w:r>
    </w:p>
    <w:p>
      <w:pPr>
        <w:pStyle w:val="ListBullet"/>
        <w:spacing w:after="80"/>
      </w:pPr>
      <w:r>
        <w:rPr>
          <w:rFonts w:ascii="Aptos" w:hAnsi="Aptos"/>
          <w:color w:val="000000"/>
          <w:sz w:val="21"/>
        </w:rPr>
        <w:t>Employment</w:t>
      </w:r>
    </w:p>
    <w:p>
      <w:pPr>
        <w:pStyle w:val="ListBullet"/>
        <w:spacing w:after="80"/>
      </w:pPr>
      <w:r>
        <w:rPr>
          <w:rFonts w:ascii="Aptos" w:hAnsi="Aptos"/>
          <w:color w:val="000000"/>
          <w:sz w:val="21"/>
        </w:rPr>
        <w:t>Family</w:t>
      </w:r>
    </w:p>
    <w:p>
      <w:pPr>
        <w:pStyle w:val="ListBullet"/>
        <w:spacing w:after="80"/>
      </w:pPr>
      <w:r>
        <w:rPr>
          <w:rFonts w:ascii="Aptos" w:hAnsi="Aptos"/>
          <w:color w:val="000000"/>
          <w:sz w:val="21"/>
        </w:rPr>
        <w:t>Health</w:t>
      </w:r>
    </w:p>
    <w:p>
      <w:pPr>
        <w:pStyle w:val="ListBullet"/>
        <w:spacing w:after="80"/>
      </w:pPr>
      <w:r>
        <w:rPr>
          <w:rFonts w:ascii="Aptos" w:hAnsi="Aptos"/>
          <w:color w:val="000000"/>
          <w:sz w:val="21"/>
        </w:rPr>
        <w:t>Legal</w:t>
      </w:r>
    </w:p>
    <w:p>
      <w:pPr>
        <w:pStyle w:val="ListBullet"/>
        <w:spacing w:after="80"/>
      </w:pPr>
      <w:r>
        <w:rPr>
          <w:rFonts w:ascii="Aptos" w:hAnsi="Aptos"/>
          <w:color w:val="000000"/>
          <w:sz w:val="21"/>
        </w:rPr>
        <w:t>Community supports</w:t>
      </w:r>
    </w:p>
    <w:p>
      <w:pPr>
        <w:pStyle w:val="Heading2"/>
      </w:pPr>
      <w:r>
        <w:t>Learning sequence</w:t>
      </w:r>
    </w:p>
    <w:p>
      <w:pPr>
        <w:spacing w:after="160"/>
      </w:pPr>
      <w:r>
        <w:rPr>
          <w:rFonts w:ascii="Aptos" w:hAnsi="Aptos"/>
          <w:color w:val="000000"/>
          <w:sz w:val="21"/>
        </w:rPr>
        <w:t>Start by defining the purpose of coordinated support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housing, employment, family, health, legal, and community supports.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coordinated support safely, and what would require consultation or a local policy check?</w:t>
      </w:r>
    </w:p>
    <w:p>
      <w:r>
        <w:br w:type="page"/>
      </w:r>
    </w:p>
    <w:p>
      <w:pPr>
        <w:pStyle w:val="Heading1"/>
      </w:pPr>
      <w:r>
        <w:t>Module 3  Sustaining recovery</w:t>
      </w:r>
    </w:p>
    <w:p>
      <w:r>
        <w:rPr>
          <w:rFonts w:ascii="Aptos" w:hAnsi="Aptos"/>
          <w:color w:val="000000"/>
          <w:sz w:val="22"/>
        </w:rPr>
        <w:t>This module focuses on relapse-prevention planning, continuity of care, outcome monitoring, and lived-experience leadership.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Relapse-prevention planning</w:t>
      </w:r>
    </w:p>
    <w:p>
      <w:pPr>
        <w:pStyle w:val="ListBullet"/>
        <w:spacing w:after="80"/>
      </w:pPr>
      <w:r>
        <w:rPr>
          <w:rFonts w:ascii="Aptos" w:hAnsi="Aptos"/>
          <w:color w:val="000000"/>
          <w:sz w:val="21"/>
        </w:rPr>
        <w:t>Continuity of care</w:t>
      </w:r>
    </w:p>
    <w:p>
      <w:pPr>
        <w:pStyle w:val="ListBullet"/>
        <w:spacing w:after="80"/>
      </w:pPr>
      <w:r>
        <w:rPr>
          <w:rFonts w:ascii="Aptos" w:hAnsi="Aptos"/>
          <w:color w:val="000000"/>
          <w:sz w:val="21"/>
        </w:rPr>
        <w:t>Outcome monitoring</w:t>
      </w:r>
    </w:p>
    <w:p>
      <w:pPr>
        <w:pStyle w:val="ListBullet"/>
        <w:spacing w:after="80"/>
      </w:pPr>
      <w:r>
        <w:rPr>
          <w:rFonts w:ascii="Aptos" w:hAnsi="Aptos"/>
          <w:color w:val="000000"/>
          <w:sz w:val="21"/>
        </w:rPr>
        <w:t>Lived-experience leadership</w:t>
      </w:r>
    </w:p>
    <w:p>
      <w:pPr>
        <w:pStyle w:val="Heading2"/>
      </w:pPr>
      <w:r>
        <w:t>Learning sequence</w:t>
      </w:r>
    </w:p>
    <w:p>
      <w:pPr>
        <w:spacing w:after="160"/>
      </w:pPr>
      <w:r>
        <w:rPr>
          <w:rFonts w:ascii="Aptos" w:hAnsi="Aptos"/>
          <w:color w:val="000000"/>
          <w:sz w:val="21"/>
        </w:rPr>
        <w:t>Start by defining the purpose of sustaining recovery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relapse-prevention planning, continuity of care, outcome monitoring, and lived-experience leadership.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sustaining recovery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recovery principles.</w:t>
      </w:r>
    </w:p>
    <w:p>
      <w:pPr>
        <w:pStyle w:val="ListBullet"/>
        <w:spacing w:after="80"/>
      </w:pPr>
      <w:r>
        <w:rPr>
          <w:rFonts w:ascii="Aptos" w:hAnsi="Aptos"/>
          <w:color w:val="000000"/>
          <w:sz w:val="21"/>
        </w:rPr>
        <w:t>Review the distinction between: peer roles.</w:t>
      </w:r>
    </w:p>
    <w:p>
      <w:pPr>
        <w:pStyle w:val="ListBullet"/>
        <w:spacing w:after="80"/>
      </w:pPr>
      <w:r>
        <w:rPr>
          <w:rFonts w:ascii="Aptos" w:hAnsi="Aptos"/>
          <w:color w:val="000000"/>
          <w:sz w:val="21"/>
        </w:rPr>
        <w:t>Review the distinction between: whole-system coordination.</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Recovery-Oriented Systems of Care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