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Aging in Place &amp; Independent Living</w:t>
      </w:r>
    </w:p>
    <w:p>
      <w:pPr>
        <w:spacing w:after="320"/>
      </w:pPr>
      <w:r>
        <w:rPr>
          <w:rFonts w:ascii="Aptos" w:hAnsi="Aptos"/>
          <w:color w:val="595959"/>
          <w:sz w:val="24"/>
        </w:rPr>
        <w:t>Learner guide  |  SWP-010  |  School of Gerontology &amp; Aging Services</w:t>
      </w:r>
    </w:p>
    <w:p>
      <w:pPr>
        <w:spacing w:after="200"/>
      </w:pPr>
      <w:r>
        <w:rPr>
          <w:rFonts w:ascii="Aptos" w:hAnsi="Aptos"/>
          <w:color w:val="000000"/>
          <w:sz w:val="23"/>
        </w:rPr>
        <w:t>This guide supports a three-part learning sequence for Aging in Place &amp; Independent Living. By the end of the course, you should be able to assess and support safe, dignified independent living for older adults.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Assess and support safe, dignified independent living for older adults.</w:t>
      </w:r>
    </w:p>
    <w:p>
      <w:pPr>
        <w:pStyle w:val="ListBullet"/>
        <w:spacing w:after="80"/>
      </w:pPr>
      <w:r>
        <w:rPr>
          <w:rFonts w:ascii="Aptos" w:hAnsi="Aptos"/>
          <w:color w:val="000000"/>
          <w:sz w:val="21"/>
        </w:rPr>
        <w:t>Apply the key ideas from Person-centred ageing.</w:t>
      </w:r>
    </w:p>
    <w:p>
      <w:pPr>
        <w:pStyle w:val="ListBullet"/>
        <w:spacing w:after="80"/>
      </w:pPr>
      <w:r>
        <w:rPr>
          <w:rFonts w:ascii="Aptos" w:hAnsi="Aptos"/>
          <w:color w:val="000000"/>
          <w:sz w:val="21"/>
        </w:rPr>
        <w:t>Apply the key ideas from Home and community assessment.</w:t>
      </w:r>
    </w:p>
    <w:p>
      <w:pPr>
        <w:pStyle w:val="ListBullet"/>
        <w:spacing w:after="80"/>
      </w:pPr>
      <w:r>
        <w:rPr>
          <w:rFonts w:ascii="Aptos" w:hAnsi="Aptos"/>
          <w:color w:val="000000"/>
          <w:sz w:val="21"/>
        </w:rPr>
        <w:t>Apply the key ideas from Coordinated ageing-in-place plan.</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Person-centred ageing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autonomy, capacity, culture, rights, and social determinants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Home and community assessment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falls, accessibility, medication/health supports, isolation, and caregiver capacity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Coordinated ageing-in-place plan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services, technology, family collaboration, review, and safeguarding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Person-centred ageing</w:t>
      </w:r>
    </w:p>
    <w:p>
      <w:r>
        <w:rPr>
          <w:rFonts w:ascii="Aptos" w:hAnsi="Aptos"/>
          <w:color w:val="000000"/>
          <w:sz w:val="22"/>
        </w:rPr>
        <w:t>This module focuses on autonomy, capacity, culture, rights, and social determinants.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Autonomy</w:t>
      </w:r>
    </w:p>
    <w:p>
      <w:pPr>
        <w:pStyle w:val="ListBullet"/>
        <w:spacing w:after="80"/>
      </w:pPr>
      <w:r>
        <w:rPr>
          <w:rFonts w:ascii="Aptos" w:hAnsi="Aptos"/>
          <w:color w:val="000000"/>
          <w:sz w:val="21"/>
        </w:rPr>
        <w:t>Capacity</w:t>
      </w:r>
    </w:p>
    <w:p>
      <w:pPr>
        <w:pStyle w:val="ListBullet"/>
        <w:spacing w:after="80"/>
      </w:pPr>
      <w:r>
        <w:rPr>
          <w:rFonts w:ascii="Aptos" w:hAnsi="Aptos"/>
          <w:color w:val="000000"/>
          <w:sz w:val="21"/>
        </w:rPr>
        <w:t>Culture</w:t>
      </w:r>
    </w:p>
    <w:p>
      <w:pPr>
        <w:pStyle w:val="ListBullet"/>
        <w:spacing w:after="80"/>
      </w:pPr>
      <w:r>
        <w:rPr>
          <w:rFonts w:ascii="Aptos" w:hAnsi="Aptos"/>
          <w:color w:val="000000"/>
          <w:sz w:val="21"/>
        </w:rPr>
        <w:t>Rights</w:t>
      </w:r>
    </w:p>
    <w:p>
      <w:pPr>
        <w:pStyle w:val="ListBullet"/>
        <w:spacing w:after="80"/>
      </w:pPr>
      <w:r>
        <w:rPr>
          <w:rFonts w:ascii="Aptos" w:hAnsi="Aptos"/>
          <w:color w:val="000000"/>
          <w:sz w:val="21"/>
        </w:rPr>
        <w:t>Social determinants</w:t>
      </w:r>
    </w:p>
    <w:p>
      <w:pPr>
        <w:pStyle w:val="Heading2"/>
      </w:pPr>
      <w:r>
        <w:t>Learning sequence</w:t>
      </w:r>
    </w:p>
    <w:p>
      <w:pPr>
        <w:spacing w:after="160"/>
      </w:pPr>
      <w:r>
        <w:rPr>
          <w:rFonts w:ascii="Aptos" w:hAnsi="Aptos"/>
          <w:color w:val="000000"/>
          <w:sz w:val="21"/>
        </w:rPr>
        <w:t>Start by defining the purpose of person-centred ageing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autonomy, capacity, culture, rights, and social determinants.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person-centred ageing safely, and what would require consultation or a local policy check?</w:t>
      </w:r>
    </w:p>
    <w:p>
      <w:r>
        <w:br w:type="page"/>
      </w:r>
    </w:p>
    <w:p>
      <w:pPr>
        <w:pStyle w:val="Heading1"/>
      </w:pPr>
      <w:r>
        <w:t>Module 2  Home and community assessment</w:t>
      </w:r>
    </w:p>
    <w:p>
      <w:r>
        <w:rPr>
          <w:rFonts w:ascii="Aptos" w:hAnsi="Aptos"/>
          <w:color w:val="000000"/>
          <w:sz w:val="22"/>
        </w:rPr>
        <w:t>This module focuses on falls, accessibility, medication/health supports, isolation, and caregiver capacity.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Falls</w:t>
      </w:r>
    </w:p>
    <w:p>
      <w:pPr>
        <w:pStyle w:val="ListBullet"/>
        <w:spacing w:after="80"/>
      </w:pPr>
      <w:r>
        <w:rPr>
          <w:rFonts w:ascii="Aptos" w:hAnsi="Aptos"/>
          <w:color w:val="000000"/>
          <w:sz w:val="21"/>
        </w:rPr>
        <w:t>Accessibility</w:t>
      </w:r>
    </w:p>
    <w:p>
      <w:pPr>
        <w:pStyle w:val="ListBullet"/>
        <w:spacing w:after="80"/>
      </w:pPr>
      <w:r>
        <w:rPr>
          <w:rFonts w:ascii="Aptos" w:hAnsi="Aptos"/>
          <w:color w:val="000000"/>
          <w:sz w:val="21"/>
        </w:rPr>
        <w:t>Medication/health supports</w:t>
      </w:r>
    </w:p>
    <w:p>
      <w:pPr>
        <w:pStyle w:val="ListBullet"/>
        <w:spacing w:after="80"/>
      </w:pPr>
      <w:r>
        <w:rPr>
          <w:rFonts w:ascii="Aptos" w:hAnsi="Aptos"/>
          <w:color w:val="000000"/>
          <w:sz w:val="21"/>
        </w:rPr>
        <w:t>Isolation</w:t>
      </w:r>
    </w:p>
    <w:p>
      <w:pPr>
        <w:pStyle w:val="ListBullet"/>
        <w:spacing w:after="80"/>
      </w:pPr>
      <w:r>
        <w:rPr>
          <w:rFonts w:ascii="Aptos" w:hAnsi="Aptos"/>
          <w:color w:val="000000"/>
          <w:sz w:val="21"/>
        </w:rPr>
        <w:t>Caregiver capacity</w:t>
      </w:r>
    </w:p>
    <w:p>
      <w:pPr>
        <w:pStyle w:val="Heading2"/>
      </w:pPr>
      <w:r>
        <w:t>Learning sequence</w:t>
      </w:r>
    </w:p>
    <w:p>
      <w:pPr>
        <w:spacing w:after="160"/>
      </w:pPr>
      <w:r>
        <w:rPr>
          <w:rFonts w:ascii="Aptos" w:hAnsi="Aptos"/>
          <w:color w:val="000000"/>
          <w:sz w:val="21"/>
        </w:rPr>
        <w:t>Start by defining the purpose of home and community assessment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falls, accessibility, medication/health supports, isolation, and caregiver capacity.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home and community assessment safely, and what would require consultation or a local policy check?</w:t>
      </w:r>
    </w:p>
    <w:p>
      <w:r>
        <w:br w:type="page"/>
      </w:r>
    </w:p>
    <w:p>
      <w:pPr>
        <w:pStyle w:val="Heading1"/>
      </w:pPr>
      <w:r>
        <w:t>Module 3  Coordinated ageing-in-place plan</w:t>
      </w:r>
    </w:p>
    <w:p>
      <w:r>
        <w:rPr>
          <w:rFonts w:ascii="Aptos" w:hAnsi="Aptos"/>
          <w:color w:val="000000"/>
          <w:sz w:val="22"/>
        </w:rPr>
        <w:t>This module focuses on services, technology, family collaboration, review, and safeguarding.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Services</w:t>
      </w:r>
    </w:p>
    <w:p>
      <w:pPr>
        <w:pStyle w:val="ListBullet"/>
        <w:spacing w:after="80"/>
      </w:pPr>
      <w:r>
        <w:rPr>
          <w:rFonts w:ascii="Aptos" w:hAnsi="Aptos"/>
          <w:color w:val="000000"/>
          <w:sz w:val="21"/>
        </w:rPr>
        <w:t>Technology</w:t>
      </w:r>
    </w:p>
    <w:p>
      <w:pPr>
        <w:pStyle w:val="ListBullet"/>
        <w:spacing w:after="80"/>
      </w:pPr>
      <w:r>
        <w:rPr>
          <w:rFonts w:ascii="Aptos" w:hAnsi="Aptos"/>
          <w:color w:val="000000"/>
          <w:sz w:val="21"/>
        </w:rPr>
        <w:t>Family collaboration</w:t>
      </w:r>
    </w:p>
    <w:p>
      <w:pPr>
        <w:pStyle w:val="ListBullet"/>
        <w:spacing w:after="80"/>
      </w:pPr>
      <w:r>
        <w:rPr>
          <w:rFonts w:ascii="Aptos" w:hAnsi="Aptos"/>
          <w:color w:val="000000"/>
          <w:sz w:val="21"/>
        </w:rPr>
        <w:t>Review</w:t>
      </w:r>
    </w:p>
    <w:p>
      <w:pPr>
        <w:pStyle w:val="ListBullet"/>
        <w:spacing w:after="80"/>
      </w:pPr>
      <w:r>
        <w:rPr>
          <w:rFonts w:ascii="Aptos" w:hAnsi="Aptos"/>
          <w:color w:val="000000"/>
          <w:sz w:val="21"/>
        </w:rPr>
        <w:t>Safeguarding</w:t>
      </w:r>
    </w:p>
    <w:p>
      <w:pPr>
        <w:pStyle w:val="Heading2"/>
      </w:pPr>
      <w:r>
        <w:t>Learning sequence</w:t>
      </w:r>
    </w:p>
    <w:p>
      <w:pPr>
        <w:spacing w:after="160"/>
      </w:pPr>
      <w:r>
        <w:rPr>
          <w:rFonts w:ascii="Aptos" w:hAnsi="Aptos"/>
          <w:color w:val="000000"/>
          <w:sz w:val="21"/>
        </w:rPr>
        <w:t>Start by defining the purpose of coordinated ageing-in-place plan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services, technology, family collaboration, review, and safeguarding.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coordinated ageing-in-place plan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risk factors.</w:t>
      </w:r>
    </w:p>
    <w:p>
      <w:pPr>
        <w:pStyle w:val="ListBullet"/>
        <w:spacing w:after="80"/>
      </w:pPr>
      <w:r>
        <w:rPr>
          <w:rFonts w:ascii="Aptos" w:hAnsi="Aptos"/>
          <w:color w:val="000000"/>
          <w:sz w:val="21"/>
        </w:rPr>
        <w:t>Review the distinction between: autonomy.</w:t>
      </w:r>
    </w:p>
    <w:p>
      <w:pPr>
        <w:pStyle w:val="ListBullet"/>
        <w:spacing w:after="80"/>
      </w:pPr>
      <w:r>
        <w:rPr>
          <w:rFonts w:ascii="Aptos" w:hAnsi="Aptos"/>
          <w:color w:val="000000"/>
          <w:sz w:val="21"/>
        </w:rPr>
        <w:t>Review the distinction between: supports.</w:t>
      </w:r>
    </w:p>
    <w:p>
      <w:pPr>
        <w:pStyle w:val="ListBullet"/>
        <w:spacing w:after="80"/>
      </w:pPr>
      <w:r>
        <w:rPr>
          <w:rFonts w:ascii="Aptos" w:hAnsi="Aptos"/>
          <w:color w:val="000000"/>
          <w:sz w:val="21"/>
        </w:rPr>
        <w:t>Review the distinction between: review.</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Aging in Place &amp; Independent Living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