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Dementia Care &amp; Caregiver Support</w:t>
      </w:r>
    </w:p>
    <w:p>
      <w:pPr>
        <w:spacing w:after="320"/>
      </w:pPr>
      <w:r>
        <w:rPr>
          <w:rFonts w:ascii="Aptos" w:hAnsi="Aptos"/>
          <w:color w:val="595959"/>
          <w:sz w:val="24"/>
        </w:rPr>
        <w:t>Learner guide  |  SWP-011  |  School of Gerontology &amp; Aging Services</w:t>
      </w:r>
    </w:p>
    <w:p>
      <w:pPr>
        <w:spacing w:after="200"/>
      </w:pPr>
      <w:r>
        <w:rPr>
          <w:rFonts w:ascii="Aptos" w:hAnsi="Aptos"/>
          <w:color w:val="000000"/>
          <w:sz w:val="23"/>
        </w:rPr>
        <w:t>This guide supports a three-part learning sequence for Dementia Care &amp; Caregiver Support. By the end of the course, you should be able to apply person-centred approaches to dementia support and caregiver wellbeing.</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Apply person-centred approaches to dementia support and caregiver wellbeing.</w:t>
      </w:r>
    </w:p>
    <w:p>
      <w:pPr>
        <w:pStyle w:val="ListBullet"/>
        <w:spacing w:after="80"/>
      </w:pPr>
      <w:r>
        <w:rPr>
          <w:rFonts w:ascii="Aptos" w:hAnsi="Aptos"/>
          <w:color w:val="000000"/>
          <w:sz w:val="21"/>
        </w:rPr>
        <w:t>Apply the key ideas from Understanding dementia.</w:t>
      </w:r>
    </w:p>
    <w:p>
      <w:pPr>
        <w:pStyle w:val="ListBullet"/>
        <w:spacing w:after="80"/>
      </w:pPr>
      <w:r>
        <w:rPr>
          <w:rFonts w:ascii="Aptos" w:hAnsi="Aptos"/>
          <w:color w:val="000000"/>
          <w:sz w:val="21"/>
        </w:rPr>
        <w:t>Apply the key ideas from Daily support and responsive care.</w:t>
      </w:r>
    </w:p>
    <w:p>
      <w:pPr>
        <w:pStyle w:val="ListBullet"/>
        <w:spacing w:after="80"/>
      </w:pPr>
      <w:r>
        <w:rPr>
          <w:rFonts w:ascii="Aptos" w:hAnsi="Aptos"/>
          <w:color w:val="000000"/>
          <w:sz w:val="21"/>
        </w:rPr>
        <w:t>Apply the key ideas from Caregiver support.</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Understanding dementia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common presentations, communication, stigma, and preserving identity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Daily support and responsive care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environment, routines, distress behaviours, consent, and family partnership</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Caregiver support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burden, respite, education, crisis planning, and referral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Understanding dementia</w:t>
      </w:r>
    </w:p>
    <w:p>
      <w:r>
        <w:rPr>
          <w:rFonts w:ascii="Aptos" w:hAnsi="Aptos"/>
          <w:color w:val="000000"/>
          <w:sz w:val="22"/>
        </w:rPr>
        <w:t>This module focuses on common presentations, communication, stigma, and preserving identity.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Common presentations</w:t>
      </w:r>
    </w:p>
    <w:p>
      <w:pPr>
        <w:pStyle w:val="ListBullet"/>
        <w:spacing w:after="80"/>
      </w:pPr>
      <w:r>
        <w:rPr>
          <w:rFonts w:ascii="Aptos" w:hAnsi="Aptos"/>
          <w:color w:val="000000"/>
          <w:sz w:val="21"/>
        </w:rPr>
        <w:t>Communication</w:t>
      </w:r>
    </w:p>
    <w:p>
      <w:pPr>
        <w:pStyle w:val="ListBullet"/>
        <w:spacing w:after="80"/>
      </w:pPr>
      <w:r>
        <w:rPr>
          <w:rFonts w:ascii="Aptos" w:hAnsi="Aptos"/>
          <w:color w:val="000000"/>
          <w:sz w:val="21"/>
        </w:rPr>
        <w:t>Stigma</w:t>
      </w:r>
    </w:p>
    <w:p>
      <w:pPr>
        <w:pStyle w:val="ListBullet"/>
        <w:spacing w:after="80"/>
      </w:pPr>
      <w:r>
        <w:rPr>
          <w:rFonts w:ascii="Aptos" w:hAnsi="Aptos"/>
          <w:color w:val="000000"/>
          <w:sz w:val="21"/>
        </w:rPr>
        <w:t>Preserving identity</w:t>
      </w:r>
    </w:p>
    <w:p>
      <w:pPr>
        <w:pStyle w:val="Heading2"/>
      </w:pPr>
      <w:r>
        <w:t>Learning sequence</w:t>
      </w:r>
    </w:p>
    <w:p>
      <w:pPr>
        <w:spacing w:after="160"/>
      </w:pPr>
      <w:r>
        <w:rPr>
          <w:rFonts w:ascii="Aptos" w:hAnsi="Aptos"/>
          <w:color w:val="000000"/>
          <w:sz w:val="21"/>
        </w:rPr>
        <w:t>Start by defining the purpose of understanding dementia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common presentations, communication, stigma, and preserving identity.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understanding dementia safely, and what would require consultation or a local policy check?</w:t>
      </w:r>
    </w:p>
    <w:p>
      <w:r>
        <w:br w:type="page"/>
      </w:r>
    </w:p>
    <w:p>
      <w:pPr>
        <w:pStyle w:val="Heading1"/>
      </w:pPr>
      <w:r>
        <w:t>Module 2  Daily support and responsive care</w:t>
      </w:r>
    </w:p>
    <w:p>
      <w:r>
        <w:rPr>
          <w:rFonts w:ascii="Aptos" w:hAnsi="Aptos"/>
          <w:color w:val="000000"/>
          <w:sz w:val="22"/>
        </w:rPr>
        <w:t>This module focuses on environment, routines, distress behaviours, consent, and family partnership.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Environment</w:t>
      </w:r>
    </w:p>
    <w:p>
      <w:pPr>
        <w:pStyle w:val="ListBullet"/>
        <w:spacing w:after="80"/>
      </w:pPr>
      <w:r>
        <w:rPr>
          <w:rFonts w:ascii="Aptos" w:hAnsi="Aptos"/>
          <w:color w:val="000000"/>
          <w:sz w:val="21"/>
        </w:rPr>
        <w:t>Routines</w:t>
      </w:r>
    </w:p>
    <w:p>
      <w:pPr>
        <w:pStyle w:val="ListBullet"/>
        <w:spacing w:after="80"/>
      </w:pPr>
      <w:r>
        <w:rPr>
          <w:rFonts w:ascii="Aptos" w:hAnsi="Aptos"/>
          <w:color w:val="000000"/>
          <w:sz w:val="21"/>
        </w:rPr>
        <w:t>Distress behaviours</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Family partnership</w:t>
      </w:r>
    </w:p>
    <w:p>
      <w:pPr>
        <w:pStyle w:val="Heading2"/>
      </w:pPr>
      <w:r>
        <w:t>Learning sequence</w:t>
      </w:r>
    </w:p>
    <w:p>
      <w:pPr>
        <w:spacing w:after="160"/>
      </w:pPr>
      <w:r>
        <w:rPr>
          <w:rFonts w:ascii="Aptos" w:hAnsi="Aptos"/>
          <w:color w:val="000000"/>
          <w:sz w:val="21"/>
        </w:rPr>
        <w:t>Start by defining the purpose of daily support and responsive care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environment, routines, distress behaviours, consent, and family partnership.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daily support and responsive care safely, and what would require consultation or a local policy check?</w:t>
      </w:r>
    </w:p>
    <w:p>
      <w:r>
        <w:br w:type="page"/>
      </w:r>
    </w:p>
    <w:p>
      <w:pPr>
        <w:pStyle w:val="Heading1"/>
      </w:pPr>
      <w:r>
        <w:t>Module 3  Caregiver support</w:t>
      </w:r>
    </w:p>
    <w:p>
      <w:r>
        <w:rPr>
          <w:rFonts w:ascii="Aptos" w:hAnsi="Aptos"/>
          <w:color w:val="000000"/>
          <w:sz w:val="22"/>
        </w:rPr>
        <w:t>This module focuses on burden, respite, education, crisis planning, and referral.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Burden</w:t>
      </w:r>
    </w:p>
    <w:p>
      <w:pPr>
        <w:pStyle w:val="ListBullet"/>
        <w:spacing w:after="80"/>
      </w:pPr>
      <w:r>
        <w:rPr>
          <w:rFonts w:ascii="Aptos" w:hAnsi="Aptos"/>
          <w:color w:val="000000"/>
          <w:sz w:val="21"/>
        </w:rPr>
        <w:t>Respite</w:t>
      </w:r>
    </w:p>
    <w:p>
      <w:pPr>
        <w:pStyle w:val="ListBullet"/>
        <w:spacing w:after="80"/>
      </w:pPr>
      <w:r>
        <w:rPr>
          <w:rFonts w:ascii="Aptos" w:hAnsi="Aptos"/>
          <w:color w:val="000000"/>
          <w:sz w:val="21"/>
        </w:rPr>
        <w:t>Education</w:t>
      </w:r>
    </w:p>
    <w:p>
      <w:pPr>
        <w:pStyle w:val="ListBullet"/>
        <w:spacing w:after="80"/>
      </w:pPr>
      <w:r>
        <w:rPr>
          <w:rFonts w:ascii="Aptos" w:hAnsi="Aptos"/>
          <w:color w:val="000000"/>
          <w:sz w:val="21"/>
        </w:rPr>
        <w:t>Crisis planning</w:t>
      </w:r>
    </w:p>
    <w:p>
      <w:pPr>
        <w:pStyle w:val="ListBullet"/>
        <w:spacing w:after="80"/>
      </w:pPr>
      <w:r>
        <w:rPr>
          <w:rFonts w:ascii="Aptos" w:hAnsi="Aptos"/>
          <w:color w:val="000000"/>
          <w:sz w:val="21"/>
        </w:rPr>
        <w:t>Referral</w:t>
      </w:r>
    </w:p>
    <w:p>
      <w:pPr>
        <w:pStyle w:val="Heading2"/>
      </w:pPr>
      <w:r>
        <w:t>Learning sequence</w:t>
      </w:r>
    </w:p>
    <w:p>
      <w:pPr>
        <w:spacing w:after="160"/>
      </w:pPr>
      <w:r>
        <w:rPr>
          <w:rFonts w:ascii="Aptos" w:hAnsi="Aptos"/>
          <w:color w:val="000000"/>
          <w:sz w:val="21"/>
        </w:rPr>
        <w:t>Start by defining the purpose of caregiver support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burden, respite, education, crisis planning, and referral.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caregiver support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person-centred care.</w:t>
      </w:r>
    </w:p>
    <w:p>
      <w:pPr>
        <w:pStyle w:val="ListBullet"/>
        <w:spacing w:after="80"/>
      </w:pPr>
      <w:r>
        <w:rPr>
          <w:rFonts w:ascii="Aptos" w:hAnsi="Aptos"/>
          <w:color w:val="000000"/>
          <w:sz w:val="21"/>
        </w:rPr>
        <w:t>Review the distinction between: communication.</w:t>
      </w:r>
    </w:p>
    <w:p>
      <w:pPr>
        <w:pStyle w:val="ListBullet"/>
        <w:spacing w:after="80"/>
      </w:pPr>
      <w:r>
        <w:rPr>
          <w:rFonts w:ascii="Aptos" w:hAnsi="Aptos"/>
          <w:color w:val="000000"/>
          <w:sz w:val="21"/>
        </w:rPr>
        <w:t>Review the distinction between: caregiver supports.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Care &amp; Caregiver Support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