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Elder Abuse Prevention &amp; Long-Term Care Advocacy</w:t>
      </w:r>
    </w:p>
    <w:p>
      <w:pPr>
        <w:spacing w:after="320"/>
      </w:pPr>
      <w:r>
        <w:rPr>
          <w:rFonts w:ascii="Aptos" w:hAnsi="Aptos"/>
          <w:color w:val="595959"/>
          <w:sz w:val="24"/>
        </w:rPr>
        <w:t>Learner guide  |  SWP-012  |  School of Gerontology &amp; Aging Services</w:t>
      </w:r>
    </w:p>
    <w:p>
      <w:pPr>
        <w:spacing w:after="200"/>
      </w:pPr>
      <w:r>
        <w:rPr>
          <w:rFonts w:ascii="Aptos" w:hAnsi="Aptos"/>
          <w:color w:val="000000"/>
          <w:sz w:val="23"/>
        </w:rPr>
        <w:t>This guide supports a three-part learning sequence for Elder Abuse Prevention &amp; Long-Term Care Advocacy. By the end of the course, you should be able to recognise elder abuse and advocate for safety, rights, and quality care.</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Recognise elder abuse and advocate for safety, rights, and quality care.</w:t>
      </w:r>
    </w:p>
    <w:p>
      <w:pPr>
        <w:pStyle w:val="ListBullet"/>
        <w:spacing w:after="80"/>
      </w:pPr>
      <w:r>
        <w:rPr>
          <w:rFonts w:ascii="Aptos" w:hAnsi="Aptos"/>
          <w:color w:val="000000"/>
          <w:sz w:val="21"/>
        </w:rPr>
        <w:t>Apply the key ideas from Forms and indicators of abuse.</w:t>
      </w:r>
    </w:p>
    <w:p>
      <w:pPr>
        <w:pStyle w:val="ListBullet"/>
        <w:spacing w:after="80"/>
      </w:pPr>
      <w:r>
        <w:rPr>
          <w:rFonts w:ascii="Aptos" w:hAnsi="Aptos"/>
          <w:color w:val="000000"/>
          <w:sz w:val="21"/>
        </w:rPr>
        <w:t>Apply the key ideas from Safe response.</w:t>
      </w:r>
    </w:p>
    <w:p>
      <w:pPr>
        <w:pStyle w:val="ListBullet"/>
        <w:spacing w:after="80"/>
      </w:pPr>
      <w:r>
        <w:rPr>
          <w:rFonts w:ascii="Aptos" w:hAnsi="Aptos"/>
          <w:color w:val="000000"/>
          <w:sz w:val="21"/>
        </w:rPr>
        <w:t>Apply the key ideas from Advocacy in long-term care.</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Forms and indicators of abuse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physical, emotional, sexual, financial, neglect, and institutional harm</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Safe response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private inquiry, capacity/consent considerations, documentation, reporting, and emergency action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Advocacy in long-term care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rights, complaints, quality monitoring, family involvement, and systems improvement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Forms and indicators of abuse</w:t>
      </w:r>
    </w:p>
    <w:p>
      <w:r>
        <w:rPr>
          <w:rFonts w:ascii="Aptos" w:hAnsi="Aptos"/>
          <w:color w:val="000000"/>
          <w:sz w:val="22"/>
        </w:rPr>
        <w:t>This module focuses on physical, emotional, sexual, financial, neglect, and institutional harm.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Physical</w:t>
      </w:r>
    </w:p>
    <w:p>
      <w:pPr>
        <w:pStyle w:val="ListBullet"/>
        <w:spacing w:after="80"/>
      </w:pPr>
      <w:r>
        <w:rPr>
          <w:rFonts w:ascii="Aptos" w:hAnsi="Aptos"/>
          <w:color w:val="000000"/>
          <w:sz w:val="21"/>
        </w:rPr>
        <w:t>Emotional</w:t>
      </w:r>
    </w:p>
    <w:p>
      <w:pPr>
        <w:pStyle w:val="ListBullet"/>
        <w:spacing w:after="80"/>
      </w:pPr>
      <w:r>
        <w:rPr>
          <w:rFonts w:ascii="Aptos" w:hAnsi="Aptos"/>
          <w:color w:val="000000"/>
          <w:sz w:val="21"/>
        </w:rPr>
        <w:t>Sexual</w:t>
      </w:r>
    </w:p>
    <w:p>
      <w:pPr>
        <w:pStyle w:val="ListBullet"/>
        <w:spacing w:after="80"/>
      </w:pPr>
      <w:r>
        <w:rPr>
          <w:rFonts w:ascii="Aptos" w:hAnsi="Aptos"/>
          <w:color w:val="000000"/>
          <w:sz w:val="21"/>
        </w:rPr>
        <w:t>Financial</w:t>
      </w:r>
    </w:p>
    <w:p>
      <w:pPr>
        <w:pStyle w:val="ListBullet"/>
        <w:spacing w:after="80"/>
      </w:pPr>
      <w:r>
        <w:rPr>
          <w:rFonts w:ascii="Aptos" w:hAnsi="Aptos"/>
          <w:color w:val="000000"/>
          <w:sz w:val="21"/>
        </w:rPr>
        <w:t>Neglect</w:t>
      </w:r>
    </w:p>
    <w:p>
      <w:pPr>
        <w:pStyle w:val="ListBullet"/>
        <w:spacing w:after="80"/>
      </w:pPr>
      <w:r>
        <w:rPr>
          <w:rFonts w:ascii="Aptos" w:hAnsi="Aptos"/>
          <w:color w:val="000000"/>
          <w:sz w:val="21"/>
        </w:rPr>
        <w:t>Institutional harm</w:t>
      </w:r>
    </w:p>
    <w:p>
      <w:pPr>
        <w:pStyle w:val="Heading2"/>
      </w:pPr>
      <w:r>
        <w:t>Learning sequence</w:t>
      </w:r>
    </w:p>
    <w:p>
      <w:pPr>
        <w:spacing w:after="160"/>
      </w:pPr>
      <w:r>
        <w:rPr>
          <w:rFonts w:ascii="Aptos" w:hAnsi="Aptos"/>
          <w:color w:val="000000"/>
          <w:sz w:val="21"/>
        </w:rPr>
        <w:t>Start by defining the purpose of forms and indicators of abuse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physical, emotional, sexual, financial, neglect, and institutional harm.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forms and indicators of abuse safely, and what would require consultation or a local policy check?</w:t>
      </w:r>
    </w:p>
    <w:p>
      <w:r>
        <w:br w:type="page"/>
      </w:r>
    </w:p>
    <w:p>
      <w:pPr>
        <w:pStyle w:val="Heading1"/>
      </w:pPr>
      <w:r>
        <w:t>Module 2  Safe response</w:t>
      </w:r>
    </w:p>
    <w:p>
      <w:r>
        <w:rPr>
          <w:rFonts w:ascii="Aptos" w:hAnsi="Aptos"/>
          <w:color w:val="000000"/>
          <w:sz w:val="22"/>
        </w:rPr>
        <w:t>This module focuses on private inquiry, capacity/consent considerations, documentation, reporting, and emergency action.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Private inquiry</w:t>
      </w:r>
    </w:p>
    <w:p>
      <w:pPr>
        <w:pStyle w:val="ListBullet"/>
        <w:spacing w:after="80"/>
      </w:pPr>
      <w:r>
        <w:rPr>
          <w:rFonts w:ascii="Aptos" w:hAnsi="Aptos"/>
          <w:color w:val="000000"/>
          <w:sz w:val="21"/>
        </w:rPr>
        <w:t>Capacity/consent considerations</w:t>
      </w:r>
    </w:p>
    <w:p>
      <w:pPr>
        <w:pStyle w:val="ListBullet"/>
        <w:spacing w:after="80"/>
      </w:pPr>
      <w:r>
        <w:rPr>
          <w:rFonts w:ascii="Aptos" w:hAnsi="Aptos"/>
          <w:color w:val="000000"/>
          <w:sz w:val="21"/>
        </w:rPr>
        <w:t>Documentation</w:t>
      </w:r>
    </w:p>
    <w:p>
      <w:pPr>
        <w:pStyle w:val="ListBullet"/>
        <w:spacing w:after="80"/>
      </w:pPr>
      <w:r>
        <w:rPr>
          <w:rFonts w:ascii="Aptos" w:hAnsi="Aptos"/>
          <w:color w:val="000000"/>
          <w:sz w:val="21"/>
        </w:rPr>
        <w:t>Reporting</w:t>
      </w:r>
    </w:p>
    <w:p>
      <w:pPr>
        <w:pStyle w:val="ListBullet"/>
        <w:spacing w:after="80"/>
      </w:pPr>
      <w:r>
        <w:rPr>
          <w:rFonts w:ascii="Aptos" w:hAnsi="Aptos"/>
          <w:color w:val="000000"/>
          <w:sz w:val="21"/>
        </w:rPr>
        <w:t>Emergency action</w:t>
      </w:r>
    </w:p>
    <w:p>
      <w:pPr>
        <w:pStyle w:val="Heading2"/>
      </w:pPr>
      <w:r>
        <w:t>Learning sequence</w:t>
      </w:r>
    </w:p>
    <w:p>
      <w:pPr>
        <w:spacing w:after="160"/>
      </w:pPr>
      <w:r>
        <w:rPr>
          <w:rFonts w:ascii="Aptos" w:hAnsi="Aptos"/>
          <w:color w:val="000000"/>
          <w:sz w:val="21"/>
        </w:rPr>
        <w:t>Start by defining the purpose of safe response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private inquiry, capacity/consent considerations, documentation, reporting, and emergency action.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safe response safely, and what would require consultation or a local policy check?</w:t>
      </w:r>
    </w:p>
    <w:p>
      <w:r>
        <w:br w:type="page"/>
      </w:r>
    </w:p>
    <w:p>
      <w:pPr>
        <w:pStyle w:val="Heading1"/>
      </w:pPr>
      <w:r>
        <w:t>Module 3  Advocacy in long-term care</w:t>
      </w:r>
    </w:p>
    <w:p>
      <w:r>
        <w:rPr>
          <w:rFonts w:ascii="Aptos" w:hAnsi="Aptos"/>
          <w:color w:val="000000"/>
          <w:sz w:val="22"/>
        </w:rPr>
        <w:t>This module focuses on rights, complaints, quality monitoring, family involvement, and systems improvement.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Rights</w:t>
      </w:r>
    </w:p>
    <w:p>
      <w:pPr>
        <w:pStyle w:val="ListBullet"/>
        <w:spacing w:after="80"/>
      </w:pPr>
      <w:r>
        <w:rPr>
          <w:rFonts w:ascii="Aptos" w:hAnsi="Aptos"/>
          <w:color w:val="000000"/>
          <w:sz w:val="21"/>
        </w:rPr>
        <w:t>Complaints</w:t>
      </w:r>
    </w:p>
    <w:p>
      <w:pPr>
        <w:pStyle w:val="ListBullet"/>
        <w:spacing w:after="80"/>
      </w:pPr>
      <w:r>
        <w:rPr>
          <w:rFonts w:ascii="Aptos" w:hAnsi="Aptos"/>
          <w:color w:val="000000"/>
          <w:sz w:val="21"/>
        </w:rPr>
        <w:t>Quality monitoring</w:t>
      </w:r>
    </w:p>
    <w:p>
      <w:pPr>
        <w:pStyle w:val="ListBullet"/>
        <w:spacing w:after="80"/>
      </w:pPr>
      <w:r>
        <w:rPr>
          <w:rFonts w:ascii="Aptos" w:hAnsi="Aptos"/>
          <w:color w:val="000000"/>
          <w:sz w:val="21"/>
        </w:rPr>
        <w:t>Family involvement</w:t>
      </w:r>
    </w:p>
    <w:p>
      <w:pPr>
        <w:pStyle w:val="ListBullet"/>
        <w:spacing w:after="80"/>
      </w:pPr>
      <w:r>
        <w:rPr>
          <w:rFonts w:ascii="Aptos" w:hAnsi="Aptos"/>
          <w:color w:val="000000"/>
          <w:sz w:val="21"/>
        </w:rPr>
        <w:t>Systems improvement</w:t>
      </w:r>
    </w:p>
    <w:p>
      <w:pPr>
        <w:pStyle w:val="Heading2"/>
      </w:pPr>
      <w:r>
        <w:t>Learning sequence</w:t>
      </w:r>
    </w:p>
    <w:p>
      <w:pPr>
        <w:spacing w:after="160"/>
      </w:pPr>
      <w:r>
        <w:rPr>
          <w:rFonts w:ascii="Aptos" w:hAnsi="Aptos"/>
          <w:color w:val="000000"/>
          <w:sz w:val="21"/>
        </w:rPr>
        <w:t>Start by defining the purpose of advocacy in long-term care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rights, complaints, quality monitoring, family involvement, and systems improvement.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advocacy in long-term care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indicators.</w:t>
      </w:r>
    </w:p>
    <w:p>
      <w:pPr>
        <w:pStyle w:val="ListBullet"/>
        <w:spacing w:after="80"/>
      </w:pPr>
      <w:r>
        <w:rPr>
          <w:rFonts w:ascii="Aptos" w:hAnsi="Aptos"/>
          <w:color w:val="000000"/>
          <w:sz w:val="21"/>
        </w:rPr>
        <w:t>Review the distinction between: safe response.</w:t>
      </w:r>
    </w:p>
    <w:p>
      <w:pPr>
        <w:pStyle w:val="ListBullet"/>
        <w:spacing w:after="80"/>
      </w:pPr>
      <w:r>
        <w:rPr>
          <w:rFonts w:ascii="Aptos" w:hAnsi="Aptos"/>
          <w:color w:val="000000"/>
          <w:sz w:val="21"/>
        </w:rPr>
        <w:t>Review the distinction between: reporting.</w:t>
      </w:r>
    </w:p>
    <w:p>
      <w:pPr>
        <w:pStyle w:val="ListBullet"/>
        <w:spacing w:after="80"/>
      </w:pPr>
      <w:r>
        <w:rPr>
          <w:rFonts w:ascii="Aptos" w:hAnsi="Aptos"/>
          <w:color w:val="000000"/>
          <w:sz w:val="21"/>
        </w:rPr>
        <w:t>Review the distinction between: resident rights.</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Elder Abuse Prevention &amp; Long-Term Care Advocacy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