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Safe response</w:t>
      </w:r>
    </w:p>
    <w:p>
      <w:pPr>
        <w:spacing w:after="320"/>
      </w:pPr>
      <w:r>
        <w:rPr>
          <w:rFonts w:ascii="Aptos" w:hAnsi="Aptos"/>
          <w:color w:val="595959"/>
          <w:sz w:val="24"/>
        </w:rPr>
        <w:t>Video plan and transcript  |  Elder Abuse Prevention &amp; Long-Term Care Advocacy  |  Module 2</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safe response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2, Safe response. In this lesson, we focus on private inquiry, capacity/consent considerations, documentation, reporting, and emergency action. The aim is to help you connect the topic to the course outcome: Recognise elder abuse and advocate for safety, rights, and quality care.</w:t>
      </w:r>
    </w:p>
    <w:p>
      <w:pPr>
        <w:pStyle w:val="Heading2"/>
      </w:pPr>
      <w:r>
        <w:t>Set the frame 1:00 to 3:00</w:t>
      </w:r>
    </w:p>
    <w:p>
      <w:r>
        <w:rPr>
          <w:rFonts w:ascii="Aptos" w:hAnsi="Aptos"/>
          <w:color w:val="000000"/>
          <w:sz w:val="21"/>
        </w:rPr>
        <w:t>Begin with the purpose of this work. Safe response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private inquiry, capacity/consent considerations, documentation, reporting, and emergency action.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elder abuse prevention &amp; long-term care advocacy.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safe response safely and respectfully? Use the worksheet to write a short response. The next step is to connect this learning with advocacy in long-term care.</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Elder Abuse Prevention &amp; Long-Term Care Advocacy Module 2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