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Hospital Discharge Planning</w:t>
      </w:r>
    </w:p>
    <w:p>
      <w:pPr>
        <w:spacing w:after="320"/>
      </w:pPr>
      <w:r>
        <w:rPr>
          <w:rFonts w:ascii="Aptos" w:hAnsi="Aptos"/>
          <w:color w:val="595959"/>
          <w:sz w:val="24"/>
        </w:rPr>
        <w:t>Learner guide  |  SWP-016  |  School of Medical &amp; Health Social Work</w:t>
      </w:r>
    </w:p>
    <w:p>
      <w:pPr>
        <w:spacing w:after="200"/>
      </w:pPr>
      <w:r>
        <w:rPr>
          <w:rFonts w:ascii="Aptos" w:hAnsi="Aptos"/>
          <w:color w:val="000000"/>
          <w:sz w:val="23"/>
        </w:rPr>
        <w:t>This guide supports a three-part learning sequence for Hospital Discharge Planning. By the end of the course, you should be able to coordinate safe, person-centred transitions from hospital to home or community care.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Coordinate safe, person-centred transitions from hospital to home or community care.</w:t>
      </w:r>
    </w:p>
    <w:p>
      <w:pPr>
        <w:pStyle w:val="ListBullet"/>
        <w:spacing w:after="80"/>
      </w:pPr>
      <w:r>
        <w:rPr>
          <w:rFonts w:ascii="Aptos" w:hAnsi="Aptos"/>
          <w:color w:val="000000"/>
          <w:sz w:val="21"/>
        </w:rPr>
        <w:t>Apply the key ideas from Discharge-risk assessment.</w:t>
      </w:r>
    </w:p>
    <w:p>
      <w:pPr>
        <w:pStyle w:val="ListBullet"/>
        <w:spacing w:after="80"/>
      </w:pPr>
      <w:r>
        <w:rPr>
          <w:rFonts w:ascii="Aptos" w:hAnsi="Aptos"/>
          <w:color w:val="000000"/>
          <w:sz w:val="21"/>
        </w:rPr>
        <w:t>Apply the key ideas from Transition coordination.</w:t>
      </w:r>
    </w:p>
    <w:p>
      <w:pPr>
        <w:pStyle w:val="ListBullet"/>
        <w:spacing w:after="80"/>
      </w:pPr>
      <w:r>
        <w:rPr>
          <w:rFonts w:ascii="Aptos" w:hAnsi="Aptos"/>
          <w:color w:val="000000"/>
          <w:sz w:val="21"/>
        </w:rPr>
        <w:t>Apply the key ideas from Follow-up and readmission prevention.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Discharge-risk assessment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medical, psychosocial, functional, financial, caregiver, and housing factors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Transition coordination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patient/family participation, interdisciplinary roles, medication and appointment continuity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Follow-up and readmission prevention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warning signs, referrals, documentation, and handover</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Discharge-risk assessment</w:t>
      </w:r>
    </w:p>
    <w:p>
      <w:r>
        <w:rPr>
          <w:rFonts w:ascii="Aptos" w:hAnsi="Aptos"/>
          <w:color w:val="000000"/>
          <w:sz w:val="22"/>
        </w:rPr>
        <w:t>This module focuses on medical, psychosocial, functional, financial, caregiver, and housing factors.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Medical</w:t>
      </w:r>
    </w:p>
    <w:p>
      <w:pPr>
        <w:pStyle w:val="ListBullet"/>
        <w:spacing w:after="80"/>
      </w:pPr>
      <w:r>
        <w:rPr>
          <w:rFonts w:ascii="Aptos" w:hAnsi="Aptos"/>
          <w:color w:val="000000"/>
          <w:sz w:val="21"/>
        </w:rPr>
        <w:t>Psychosocial</w:t>
      </w:r>
    </w:p>
    <w:p>
      <w:pPr>
        <w:pStyle w:val="ListBullet"/>
        <w:spacing w:after="80"/>
      </w:pPr>
      <w:r>
        <w:rPr>
          <w:rFonts w:ascii="Aptos" w:hAnsi="Aptos"/>
          <w:color w:val="000000"/>
          <w:sz w:val="21"/>
        </w:rPr>
        <w:t>Functional</w:t>
      </w:r>
    </w:p>
    <w:p>
      <w:pPr>
        <w:pStyle w:val="ListBullet"/>
        <w:spacing w:after="80"/>
      </w:pPr>
      <w:r>
        <w:rPr>
          <w:rFonts w:ascii="Aptos" w:hAnsi="Aptos"/>
          <w:color w:val="000000"/>
          <w:sz w:val="21"/>
        </w:rPr>
        <w:t>Financial</w:t>
      </w:r>
    </w:p>
    <w:p>
      <w:pPr>
        <w:pStyle w:val="ListBullet"/>
        <w:spacing w:after="80"/>
      </w:pPr>
      <w:r>
        <w:rPr>
          <w:rFonts w:ascii="Aptos" w:hAnsi="Aptos"/>
          <w:color w:val="000000"/>
          <w:sz w:val="21"/>
        </w:rPr>
        <w:t>Caregiver</w:t>
      </w:r>
    </w:p>
    <w:p>
      <w:pPr>
        <w:pStyle w:val="ListBullet"/>
        <w:spacing w:after="80"/>
      </w:pPr>
      <w:r>
        <w:rPr>
          <w:rFonts w:ascii="Aptos" w:hAnsi="Aptos"/>
          <w:color w:val="000000"/>
          <w:sz w:val="21"/>
        </w:rPr>
        <w:t>Housing factors</w:t>
      </w:r>
    </w:p>
    <w:p>
      <w:pPr>
        <w:pStyle w:val="Heading2"/>
      </w:pPr>
      <w:r>
        <w:t>Learning sequence</w:t>
      </w:r>
    </w:p>
    <w:p>
      <w:pPr>
        <w:spacing w:after="160"/>
      </w:pPr>
      <w:r>
        <w:rPr>
          <w:rFonts w:ascii="Aptos" w:hAnsi="Aptos"/>
          <w:color w:val="000000"/>
          <w:sz w:val="21"/>
        </w:rPr>
        <w:t>Start by defining the purpose of discharge-risk assessment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medical, psychosocial, functional, financial, caregiver, and housing factors.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discharge-risk assessment safely, and what would require consultation or a local policy check?</w:t>
      </w:r>
    </w:p>
    <w:p>
      <w:r>
        <w:br w:type="page"/>
      </w:r>
    </w:p>
    <w:p>
      <w:pPr>
        <w:pStyle w:val="Heading1"/>
      </w:pPr>
      <w:r>
        <w:t>Module 2  Transition coordination</w:t>
      </w:r>
    </w:p>
    <w:p>
      <w:r>
        <w:rPr>
          <w:rFonts w:ascii="Aptos" w:hAnsi="Aptos"/>
          <w:color w:val="000000"/>
          <w:sz w:val="22"/>
        </w:rPr>
        <w:t>This module focuses on patient/family participation, interdisciplinary roles, medication and appointment continuity.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Patient/family participation</w:t>
      </w:r>
    </w:p>
    <w:p>
      <w:pPr>
        <w:pStyle w:val="ListBullet"/>
        <w:spacing w:after="80"/>
      </w:pPr>
      <w:r>
        <w:rPr>
          <w:rFonts w:ascii="Aptos" w:hAnsi="Aptos"/>
          <w:color w:val="000000"/>
          <w:sz w:val="21"/>
        </w:rPr>
        <w:t>Interdisciplinary roles</w:t>
      </w:r>
    </w:p>
    <w:p>
      <w:pPr>
        <w:pStyle w:val="ListBullet"/>
        <w:spacing w:after="80"/>
      </w:pPr>
      <w:r>
        <w:rPr>
          <w:rFonts w:ascii="Aptos" w:hAnsi="Aptos"/>
          <w:color w:val="000000"/>
          <w:sz w:val="21"/>
        </w:rPr>
        <w:t>Medication</w:t>
      </w:r>
    </w:p>
    <w:p>
      <w:pPr>
        <w:pStyle w:val="ListBullet"/>
        <w:spacing w:after="80"/>
      </w:pPr>
      <w:r>
        <w:rPr>
          <w:rFonts w:ascii="Aptos" w:hAnsi="Aptos"/>
          <w:color w:val="000000"/>
          <w:sz w:val="21"/>
        </w:rPr>
        <w:t>Appointment continuity</w:t>
      </w:r>
    </w:p>
    <w:p>
      <w:pPr>
        <w:pStyle w:val="Heading2"/>
      </w:pPr>
      <w:r>
        <w:t>Learning sequence</w:t>
      </w:r>
    </w:p>
    <w:p>
      <w:pPr>
        <w:spacing w:after="160"/>
      </w:pPr>
      <w:r>
        <w:rPr>
          <w:rFonts w:ascii="Aptos" w:hAnsi="Aptos"/>
          <w:color w:val="000000"/>
          <w:sz w:val="21"/>
        </w:rPr>
        <w:t>Start by defining the purpose of transition coordination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patient/family participation, interdisciplinary roles, medication and appointment continuity.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transition coordination safely, and what would require consultation or a local policy check?</w:t>
      </w:r>
    </w:p>
    <w:p>
      <w:r>
        <w:br w:type="page"/>
      </w:r>
    </w:p>
    <w:p>
      <w:pPr>
        <w:pStyle w:val="Heading1"/>
      </w:pPr>
      <w:r>
        <w:t>Module 3  Follow-up and readmission prevention</w:t>
      </w:r>
    </w:p>
    <w:p>
      <w:r>
        <w:rPr>
          <w:rFonts w:ascii="Aptos" w:hAnsi="Aptos"/>
          <w:color w:val="000000"/>
          <w:sz w:val="22"/>
        </w:rPr>
        <w:t>This module focuses on warning signs, referrals, documentation, and handover.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Warning signs</w:t>
      </w:r>
    </w:p>
    <w:p>
      <w:pPr>
        <w:pStyle w:val="ListBullet"/>
        <w:spacing w:after="80"/>
      </w:pPr>
      <w:r>
        <w:rPr>
          <w:rFonts w:ascii="Aptos" w:hAnsi="Aptos"/>
          <w:color w:val="000000"/>
          <w:sz w:val="21"/>
        </w:rPr>
        <w:t>Referrals</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Handover</w:t>
      </w:r>
    </w:p>
    <w:p>
      <w:pPr>
        <w:pStyle w:val="Heading2"/>
      </w:pPr>
      <w:r>
        <w:t>Learning sequence</w:t>
      </w:r>
    </w:p>
    <w:p>
      <w:pPr>
        <w:spacing w:after="160"/>
      </w:pPr>
      <w:r>
        <w:rPr>
          <w:rFonts w:ascii="Aptos" w:hAnsi="Aptos"/>
          <w:color w:val="000000"/>
          <w:sz w:val="21"/>
        </w:rPr>
        <w:t>Start by defining the purpose of follow-up and readmission prevention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warning signs, referrals, documentation, and handover.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follow-up and readmission prevention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risk factors.</w:t>
      </w:r>
    </w:p>
    <w:p>
      <w:pPr>
        <w:pStyle w:val="ListBullet"/>
        <w:spacing w:after="80"/>
      </w:pPr>
      <w:r>
        <w:rPr>
          <w:rFonts w:ascii="Aptos" w:hAnsi="Aptos"/>
          <w:color w:val="000000"/>
          <w:sz w:val="21"/>
        </w:rPr>
        <w:t>Review the distinction between: coordination.</w:t>
      </w:r>
    </w:p>
    <w:p>
      <w:pPr>
        <w:pStyle w:val="ListBullet"/>
        <w:spacing w:after="80"/>
      </w:pPr>
      <w:r>
        <w:rPr>
          <w:rFonts w:ascii="Aptos" w:hAnsi="Aptos"/>
          <w:color w:val="000000"/>
          <w:sz w:val="21"/>
        </w:rPr>
        <w:t>Review the distinction between: patient participation.</w:t>
      </w:r>
    </w:p>
    <w:p>
      <w:pPr>
        <w:pStyle w:val="ListBullet"/>
        <w:spacing w:after="80"/>
      </w:pPr>
      <w:r>
        <w:rPr>
          <w:rFonts w:ascii="Aptos" w:hAnsi="Aptos"/>
          <w:color w:val="000000"/>
          <w:sz w:val="21"/>
        </w:rPr>
        <w:t>Review the distinction between: follow-up.</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Discharge Planning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