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color w:val="000000"/>
          <w:sz w:val="50"/>
        </w:rPr>
        <w:t>Hospital Discharge Planning</w:t>
      </w:r>
    </w:p>
    <w:p>
      <w:pPr>
        <w:spacing w:after="320"/>
      </w:pPr>
      <w:r>
        <w:rPr>
          <w:rFonts w:ascii="Aptos" w:hAnsi="Aptos"/>
          <w:color w:val="595959"/>
          <w:sz w:val="24"/>
        </w:rPr>
        <w:t>Practice worksheet  |  SWP-016</w:t>
      </w:r>
    </w:p>
    <w:p>
      <w:r>
        <w:rPr>
          <w:rFonts w:ascii="Aptos" w:hAnsi="Aptos"/>
          <w:color w:val="000000"/>
          <w:sz w:val="22"/>
        </w:rPr>
        <w:t>Use this de-identified learning activity after completing the three modules. Record only what is necessary for your learning. Do not include client, family, patient, student, or colleague names.</w:t>
      </w:r>
    </w:p>
    <w:p>
      <w:pPr>
        <w:pStyle w:val="SmallNote"/>
      </w:pPr>
      <w:r>
        <w:rPr>
          <w:rFonts w:ascii="Aptos" w:hAnsi="Aptos"/>
          <w:color w:val="595959"/>
          <w:sz w:val="18"/>
        </w:rPr>
        <w:t>Practice notice: Apply the law, organisational policy, supervision requirements, and approved referral pathways that govern your setting. This material supports learning and does not replace urgent safeguarding, clinical, or legal procedures.</w:t>
      </w:r>
    </w:p>
    <w:p>
      <w:pPr>
        <w:pStyle w:val="Heading1"/>
      </w:pPr>
      <w:r>
        <w:t>Practice scenario</w:t>
      </w:r>
    </w:p>
    <w:p>
      <w:r>
        <w:rPr>
          <w:rFonts w:ascii="Aptos" w:hAnsi="Aptos"/>
          <w:color w:val="000000"/>
          <w:sz w:val="21"/>
        </w:rPr>
        <w:t>You are supporting a person, family, group, or community that needs help related to hospital discharge planning. The situation contains incomplete information, competing priorities, and at least one issue that may need advice from a supervisor or partner service.</w:t>
      </w:r>
    </w:p>
    <w:p>
      <w:pPr>
        <w:pStyle w:val="Heading1"/>
      </w:pPr>
      <w:r>
        <w:t>Activity instructions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Work through the modules in order and use the questions below to organise your response.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Distinguish information you know from information you need to verify.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Identify the immediate action that sits within your role and any decision that needs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Use your local policy and referral information before applying this activity in practice.</w:t>
      </w:r>
    </w:p>
    <w:p>
      <w:pPr>
        <w:pStyle w:val="Heading2"/>
      </w:pPr>
      <w:r>
        <w:t>1. What matters now</w:t>
      </w:r>
    </w:p>
    <w:p>
      <w:r>
        <w:rPr>
          <w:rFonts w:ascii="Aptos" w:hAnsi="Aptos"/>
          <w:color w:val="000000"/>
          <w:sz w:val="21"/>
        </w:rPr>
        <w:t>What information, strengths, risks, and priorities would you consider when approaching discharge-risk assessment?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2. Safe and collaborative response</w:t>
      </w:r>
    </w:p>
    <w:p>
      <w:r>
        <w:rPr>
          <w:rFonts w:ascii="Aptos" w:hAnsi="Aptos"/>
          <w:color w:val="000000"/>
          <w:sz w:val="21"/>
        </w:rPr>
        <w:t>How would you apply transition coordination while communicating respectfully and within your scope?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3. Coordination and follow-up</w:t>
      </w:r>
    </w:p>
    <w:p>
      <w:r>
        <w:rPr>
          <w:rFonts w:ascii="Aptos" w:hAnsi="Aptos"/>
          <w:color w:val="000000"/>
          <w:sz w:val="21"/>
        </w:rPr>
        <w:t>What documentation, review point, consultation, referral, or handover would be appropriate when applying follow-up and readmission prevention?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4. Reflection</w:t>
      </w:r>
    </w:p>
    <w:p>
      <w:r>
        <w:rPr>
          <w:rFonts w:ascii="Aptos" w:hAnsi="Aptos"/>
          <w:color w:val="000000"/>
          <w:sz w:val="21"/>
        </w:rPr>
        <w:t>What assumption did you need to test, and how would you check it without causing harm or excluding the person's voice?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1"/>
      </w:pPr>
      <w:r>
        <w:t>Self-check before submission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My response uses de-identified information.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separated observations from assumptions.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named the action within my role and the action that needs consultation or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considered equity, dignity, participation, and confidentiality.</w:t>
      </w:r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7"/>
      </w:rPr>
      <w:t>SWEEP Academy learning materials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40"/>
    </w:pPr>
    <w:rPr>
      <w:rFonts w:ascii="Aptos" w:hAnsi="Apto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20"/>
    </w:pPr>
    <w:rPr>
      <w:rFonts w:ascii="Aptos" w:hAnsi="Aptos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Hospital Discharge Planning Practice Worksheet</dc:title>
  <dc:subject/>
  <dc:creator>SWEEP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