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Chronic Illness &amp; Adherence Support</w:t>
      </w:r>
    </w:p>
    <w:p>
      <w:pPr>
        <w:spacing w:after="320"/>
      </w:pPr>
      <w:r>
        <w:rPr>
          <w:rFonts w:ascii="Aptos" w:hAnsi="Aptos"/>
          <w:color w:val="595959"/>
          <w:sz w:val="24"/>
        </w:rPr>
        <w:t>Learner guide  |  SWP-017  |  School of Medical &amp; Health Social Work</w:t>
      </w:r>
    </w:p>
    <w:p>
      <w:pPr>
        <w:spacing w:after="200"/>
      </w:pPr>
      <w:r>
        <w:rPr>
          <w:rFonts w:ascii="Aptos" w:hAnsi="Aptos"/>
          <w:color w:val="000000"/>
          <w:sz w:val="23"/>
        </w:rPr>
        <w:t>This guide supports a three-part learning sequence for Chronic Illness &amp; Adherence Support. By the end of the course, you should be able to support people living with chronic conditions to overcome practical and psychosocial barriers to care.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Support people living with chronic conditions to overcome practical and psychosocial barriers to care.</w:t>
      </w:r>
    </w:p>
    <w:p>
      <w:pPr>
        <w:pStyle w:val="ListBullet"/>
        <w:spacing w:after="80"/>
      </w:pPr>
      <w:r>
        <w:rPr>
          <w:rFonts w:ascii="Aptos" w:hAnsi="Aptos"/>
          <w:color w:val="000000"/>
          <w:sz w:val="21"/>
        </w:rPr>
        <w:t>Apply the key ideas from Living with chronic illness.</w:t>
      </w:r>
    </w:p>
    <w:p>
      <w:pPr>
        <w:pStyle w:val="ListBullet"/>
        <w:spacing w:after="80"/>
      </w:pPr>
      <w:r>
        <w:rPr>
          <w:rFonts w:ascii="Aptos" w:hAnsi="Aptos"/>
          <w:color w:val="000000"/>
          <w:sz w:val="21"/>
        </w:rPr>
        <w:t>Apply the key ideas from Understanding adherence barriers.</w:t>
      </w:r>
    </w:p>
    <w:p>
      <w:pPr>
        <w:pStyle w:val="ListBullet"/>
        <w:spacing w:after="80"/>
      </w:pPr>
      <w:r>
        <w:rPr>
          <w:rFonts w:ascii="Aptos" w:hAnsi="Aptos"/>
          <w:color w:val="000000"/>
          <w:sz w:val="21"/>
        </w:rPr>
        <w:t>Apply the key ideas from Collaborative support plan.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Living with chronic illness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illness burden, stigma, social determinants, self-management, and strengths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Understanding adherence barriers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beliefs, cost, access, literacy, side effects, mental health, and family factors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Collaborative support plan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goal setting, education, reminders, referrals, monitoring, and advocacy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Living with chronic illness</w:t>
      </w:r>
    </w:p>
    <w:p>
      <w:r>
        <w:rPr>
          <w:rFonts w:ascii="Aptos" w:hAnsi="Aptos"/>
          <w:color w:val="000000"/>
          <w:sz w:val="22"/>
        </w:rPr>
        <w:t>This module focuses on illness burden, stigma, social determinants, self-management, and strengths.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Illness burden</w:t>
      </w:r>
    </w:p>
    <w:p>
      <w:pPr>
        <w:pStyle w:val="ListBullet"/>
        <w:spacing w:after="80"/>
      </w:pPr>
      <w:r>
        <w:rPr>
          <w:rFonts w:ascii="Aptos" w:hAnsi="Aptos"/>
          <w:color w:val="000000"/>
          <w:sz w:val="21"/>
        </w:rPr>
        <w:t>Stigma</w:t>
      </w:r>
    </w:p>
    <w:p>
      <w:pPr>
        <w:pStyle w:val="ListBullet"/>
        <w:spacing w:after="80"/>
      </w:pPr>
      <w:r>
        <w:rPr>
          <w:rFonts w:ascii="Aptos" w:hAnsi="Aptos"/>
          <w:color w:val="000000"/>
          <w:sz w:val="21"/>
        </w:rPr>
        <w:t>Social determinants</w:t>
      </w:r>
    </w:p>
    <w:p>
      <w:pPr>
        <w:pStyle w:val="ListBullet"/>
        <w:spacing w:after="80"/>
      </w:pPr>
      <w:r>
        <w:rPr>
          <w:rFonts w:ascii="Aptos" w:hAnsi="Aptos"/>
          <w:color w:val="000000"/>
          <w:sz w:val="21"/>
        </w:rPr>
        <w:t>Self-management</w:t>
      </w:r>
    </w:p>
    <w:p>
      <w:pPr>
        <w:pStyle w:val="ListBullet"/>
        <w:spacing w:after="80"/>
      </w:pPr>
      <w:r>
        <w:rPr>
          <w:rFonts w:ascii="Aptos" w:hAnsi="Aptos"/>
          <w:color w:val="000000"/>
          <w:sz w:val="21"/>
        </w:rPr>
        <w:t>Strengths</w:t>
      </w:r>
    </w:p>
    <w:p>
      <w:pPr>
        <w:pStyle w:val="Heading2"/>
      </w:pPr>
      <w:r>
        <w:t>Learning sequence</w:t>
      </w:r>
    </w:p>
    <w:p>
      <w:pPr>
        <w:spacing w:after="160"/>
      </w:pPr>
      <w:r>
        <w:rPr>
          <w:rFonts w:ascii="Aptos" w:hAnsi="Aptos"/>
          <w:color w:val="000000"/>
          <w:sz w:val="21"/>
        </w:rPr>
        <w:t>Start by defining the purpose of living with chronic illness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illness burden, stigma, social determinants, self-management, and strengths.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living with chronic illness safely, and what would require consultation or a local policy check?</w:t>
      </w:r>
    </w:p>
    <w:p>
      <w:r>
        <w:br w:type="page"/>
      </w:r>
    </w:p>
    <w:p>
      <w:pPr>
        <w:pStyle w:val="Heading1"/>
      </w:pPr>
      <w:r>
        <w:t>Module 2  Understanding adherence barriers</w:t>
      </w:r>
    </w:p>
    <w:p>
      <w:r>
        <w:rPr>
          <w:rFonts w:ascii="Aptos" w:hAnsi="Aptos"/>
          <w:color w:val="000000"/>
          <w:sz w:val="22"/>
        </w:rPr>
        <w:t>This module focuses on beliefs, cost, access, literacy, side effects, mental health, and family factors.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Beliefs</w:t>
      </w:r>
    </w:p>
    <w:p>
      <w:pPr>
        <w:pStyle w:val="ListBullet"/>
        <w:spacing w:after="80"/>
      </w:pPr>
      <w:r>
        <w:rPr>
          <w:rFonts w:ascii="Aptos" w:hAnsi="Aptos"/>
          <w:color w:val="000000"/>
          <w:sz w:val="21"/>
        </w:rPr>
        <w:t>Cost</w:t>
      </w:r>
    </w:p>
    <w:p>
      <w:pPr>
        <w:pStyle w:val="ListBullet"/>
        <w:spacing w:after="80"/>
      </w:pPr>
      <w:r>
        <w:rPr>
          <w:rFonts w:ascii="Aptos" w:hAnsi="Aptos"/>
          <w:color w:val="000000"/>
          <w:sz w:val="21"/>
        </w:rPr>
        <w:t>Access</w:t>
      </w:r>
    </w:p>
    <w:p>
      <w:pPr>
        <w:pStyle w:val="ListBullet"/>
        <w:spacing w:after="80"/>
      </w:pPr>
      <w:r>
        <w:rPr>
          <w:rFonts w:ascii="Aptos" w:hAnsi="Aptos"/>
          <w:color w:val="000000"/>
          <w:sz w:val="21"/>
        </w:rPr>
        <w:t>Literacy</w:t>
      </w:r>
    </w:p>
    <w:p>
      <w:pPr>
        <w:pStyle w:val="ListBullet"/>
        <w:spacing w:after="80"/>
      </w:pPr>
      <w:r>
        <w:rPr>
          <w:rFonts w:ascii="Aptos" w:hAnsi="Aptos"/>
          <w:color w:val="000000"/>
          <w:sz w:val="21"/>
        </w:rPr>
        <w:t>Side effects</w:t>
      </w:r>
    </w:p>
    <w:p>
      <w:pPr>
        <w:pStyle w:val="ListBullet"/>
        <w:spacing w:after="80"/>
      </w:pPr>
      <w:r>
        <w:rPr>
          <w:rFonts w:ascii="Aptos" w:hAnsi="Aptos"/>
          <w:color w:val="000000"/>
          <w:sz w:val="21"/>
        </w:rPr>
        <w:t>Mental health</w:t>
      </w:r>
    </w:p>
    <w:p>
      <w:pPr>
        <w:pStyle w:val="ListBullet"/>
        <w:spacing w:after="80"/>
      </w:pPr>
      <w:r>
        <w:rPr>
          <w:rFonts w:ascii="Aptos" w:hAnsi="Aptos"/>
          <w:color w:val="000000"/>
          <w:sz w:val="21"/>
        </w:rPr>
        <w:t>Family factors</w:t>
      </w:r>
    </w:p>
    <w:p>
      <w:pPr>
        <w:pStyle w:val="Heading2"/>
      </w:pPr>
      <w:r>
        <w:t>Learning sequence</w:t>
      </w:r>
    </w:p>
    <w:p>
      <w:pPr>
        <w:spacing w:after="160"/>
      </w:pPr>
      <w:r>
        <w:rPr>
          <w:rFonts w:ascii="Aptos" w:hAnsi="Aptos"/>
          <w:color w:val="000000"/>
          <w:sz w:val="21"/>
        </w:rPr>
        <w:t>Start by defining the purpose of understanding adherence barriers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beliefs, cost, access, literacy, side effects, mental health, and family factors.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understanding adherence barriers safely, and what would require consultation or a local policy check?</w:t>
      </w:r>
    </w:p>
    <w:p>
      <w:r>
        <w:br w:type="page"/>
      </w:r>
    </w:p>
    <w:p>
      <w:pPr>
        <w:pStyle w:val="Heading1"/>
      </w:pPr>
      <w:r>
        <w:t>Module 3  Collaborative support plan</w:t>
      </w:r>
    </w:p>
    <w:p>
      <w:r>
        <w:rPr>
          <w:rFonts w:ascii="Aptos" w:hAnsi="Aptos"/>
          <w:color w:val="000000"/>
          <w:sz w:val="22"/>
        </w:rPr>
        <w:t>This module focuses on goal setting, education, reminders, referrals, monitoring, and advocacy.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Goal setting</w:t>
      </w:r>
    </w:p>
    <w:p>
      <w:pPr>
        <w:pStyle w:val="ListBullet"/>
        <w:spacing w:after="80"/>
      </w:pPr>
      <w:r>
        <w:rPr>
          <w:rFonts w:ascii="Aptos" w:hAnsi="Aptos"/>
          <w:color w:val="000000"/>
          <w:sz w:val="21"/>
        </w:rPr>
        <w:t>Education</w:t>
      </w:r>
    </w:p>
    <w:p>
      <w:pPr>
        <w:pStyle w:val="ListBullet"/>
        <w:spacing w:after="80"/>
      </w:pPr>
      <w:r>
        <w:rPr>
          <w:rFonts w:ascii="Aptos" w:hAnsi="Aptos"/>
          <w:color w:val="000000"/>
          <w:sz w:val="21"/>
        </w:rPr>
        <w:t>Reminders</w:t>
      </w:r>
    </w:p>
    <w:p>
      <w:pPr>
        <w:pStyle w:val="ListBullet"/>
        <w:spacing w:after="80"/>
      </w:pPr>
      <w:r>
        <w:rPr>
          <w:rFonts w:ascii="Aptos" w:hAnsi="Aptos"/>
          <w:color w:val="000000"/>
          <w:sz w:val="21"/>
        </w:rPr>
        <w:t>Referrals</w:t>
      </w:r>
    </w:p>
    <w:p>
      <w:pPr>
        <w:pStyle w:val="ListBullet"/>
        <w:spacing w:after="80"/>
      </w:pPr>
      <w:r>
        <w:rPr>
          <w:rFonts w:ascii="Aptos" w:hAnsi="Aptos"/>
          <w:color w:val="000000"/>
          <w:sz w:val="21"/>
        </w:rPr>
        <w:t>Monitoring</w:t>
      </w:r>
    </w:p>
    <w:p>
      <w:pPr>
        <w:pStyle w:val="ListBullet"/>
        <w:spacing w:after="80"/>
      </w:pPr>
      <w:r>
        <w:rPr>
          <w:rFonts w:ascii="Aptos" w:hAnsi="Aptos"/>
          <w:color w:val="000000"/>
          <w:sz w:val="21"/>
        </w:rPr>
        <w:t>Advocacy</w:t>
      </w:r>
    </w:p>
    <w:p>
      <w:pPr>
        <w:pStyle w:val="Heading2"/>
      </w:pPr>
      <w:r>
        <w:t>Learning sequence</w:t>
      </w:r>
    </w:p>
    <w:p>
      <w:pPr>
        <w:spacing w:after="160"/>
      </w:pPr>
      <w:r>
        <w:rPr>
          <w:rFonts w:ascii="Aptos" w:hAnsi="Aptos"/>
          <w:color w:val="000000"/>
          <w:sz w:val="21"/>
        </w:rPr>
        <w:t>Start by defining the purpose of collaborative support plan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goal setting, education, reminders, referrals, monitoring, and advocacy.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collaborative support plan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barriers.</w:t>
      </w:r>
    </w:p>
    <w:p>
      <w:pPr>
        <w:pStyle w:val="ListBullet"/>
        <w:spacing w:after="80"/>
      </w:pPr>
      <w:r>
        <w:rPr>
          <w:rFonts w:ascii="Aptos" w:hAnsi="Aptos"/>
          <w:color w:val="000000"/>
          <w:sz w:val="21"/>
        </w:rPr>
        <w:t>Review the distinction between: collaborative goals.</w:t>
      </w:r>
    </w:p>
    <w:p>
      <w:pPr>
        <w:pStyle w:val="ListBullet"/>
        <w:spacing w:after="80"/>
      </w:pPr>
      <w:r>
        <w:rPr>
          <w:rFonts w:ascii="Aptos" w:hAnsi="Aptos"/>
          <w:color w:val="000000"/>
          <w:sz w:val="21"/>
        </w:rPr>
        <w:t>Review the distinction between: adherence supports.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Chronic Illness &amp; Adherence Support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