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Understanding adherence barriers</w:t>
      </w:r>
    </w:p>
    <w:p>
      <w:pPr>
        <w:spacing w:after="320"/>
      </w:pPr>
      <w:r>
        <w:rPr>
          <w:rFonts w:ascii="Aptos" w:hAnsi="Aptos"/>
          <w:color w:val="595959"/>
          <w:sz w:val="24"/>
        </w:rPr>
        <w:t>Video plan and transcript  |  Chronic Illness &amp; Adherence Support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understanding adherence barriers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Understanding adherence barriers. In this lesson, we focus on beliefs, cost, access, literacy, side effects, mental health, and family factors. The aim is to help you connect the topic to the course outcome: Support people living with chronic conditions to overcome practical and psychosocial barriers to care.</w:t>
      </w:r>
    </w:p>
    <w:p>
      <w:pPr>
        <w:pStyle w:val="Heading2"/>
      </w:pPr>
      <w:r>
        <w:t>Set the frame 1:00 to 3:00</w:t>
      </w:r>
    </w:p>
    <w:p>
      <w:r>
        <w:rPr>
          <w:rFonts w:ascii="Aptos" w:hAnsi="Aptos"/>
          <w:color w:val="000000"/>
          <w:sz w:val="21"/>
        </w:rPr>
        <w:t>Begin with the purpose of this work. Understanding adherence barriers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beliefs, cost, access, literacy, side effects, mental health, and family factors.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chronic illness &amp; adherence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understanding adherence barriers safely and respectfully? Use the worksheet to write a short response. The next step is to connect this learning with collaborative support plan.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Chronic Illness &amp; Adherence Support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