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Interdisciplinary Collaboration in Healthcare</w:t>
      </w:r>
    </w:p>
    <w:p>
      <w:pPr>
        <w:spacing w:after="320"/>
      </w:pPr>
      <w:r>
        <w:rPr>
          <w:rFonts w:ascii="Aptos" w:hAnsi="Aptos"/>
          <w:color w:val="595959"/>
          <w:sz w:val="24"/>
        </w:rPr>
        <w:t>Learner guide  |  SWP-018  |  School of Medical &amp; Health Social Work</w:t>
      </w:r>
    </w:p>
    <w:p>
      <w:pPr>
        <w:spacing w:after="200"/>
      </w:pPr>
      <w:r>
        <w:rPr>
          <w:rFonts w:ascii="Aptos" w:hAnsi="Aptos"/>
          <w:color w:val="000000"/>
          <w:sz w:val="23"/>
        </w:rPr>
        <w:t>This guide supports a three-part learning sequence for Interdisciplinary Collaboration in Healthcare. By the end of the course, you should be able to work effectively and ethically in healthcare teams while protecting the social-work perspective.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Work effectively and ethically in healthcare teams while protecting the social-work perspective.</w:t>
      </w:r>
    </w:p>
    <w:p>
      <w:pPr>
        <w:pStyle w:val="ListBullet"/>
        <w:spacing w:after="80"/>
      </w:pPr>
      <w:r>
        <w:rPr>
          <w:rFonts w:ascii="Aptos" w:hAnsi="Aptos"/>
          <w:color w:val="000000"/>
          <w:sz w:val="21"/>
        </w:rPr>
        <w:t>Apply the key ideas from Team-based care.</w:t>
      </w:r>
    </w:p>
    <w:p>
      <w:pPr>
        <w:pStyle w:val="ListBullet"/>
        <w:spacing w:after="80"/>
      </w:pPr>
      <w:r>
        <w:rPr>
          <w:rFonts w:ascii="Aptos" w:hAnsi="Aptos"/>
          <w:color w:val="000000"/>
          <w:sz w:val="21"/>
        </w:rPr>
        <w:t>Apply the key ideas from Communication and coordination.</w:t>
      </w:r>
    </w:p>
    <w:p>
      <w:pPr>
        <w:pStyle w:val="ListBullet"/>
        <w:spacing w:after="80"/>
      </w:pPr>
      <w:r>
        <w:rPr>
          <w:rFonts w:ascii="Aptos" w:hAnsi="Aptos"/>
          <w:color w:val="000000"/>
          <w:sz w:val="21"/>
        </w:rPr>
        <w:t>Apply the key ideas from Ethics and quality improvement.</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Team-based care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roles, scope, referrals, shared goals, and social determinants of health</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Communication and coordination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case conferences, handovers, documentation, advocacy, and constructive disagreement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Ethics and quality improvement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confidentiality, consent, equity, burnout prevention, and reflective practice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Team-based care</w:t>
      </w:r>
    </w:p>
    <w:p>
      <w:r>
        <w:rPr>
          <w:rFonts w:ascii="Aptos" w:hAnsi="Aptos"/>
          <w:color w:val="000000"/>
          <w:sz w:val="22"/>
        </w:rPr>
        <w:t>This module focuses on roles, scope, referrals, shared goals, and social determinants of health.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Roles</w:t>
      </w:r>
    </w:p>
    <w:p>
      <w:pPr>
        <w:pStyle w:val="ListBullet"/>
        <w:spacing w:after="80"/>
      </w:pPr>
      <w:r>
        <w:rPr>
          <w:rFonts w:ascii="Aptos" w:hAnsi="Aptos"/>
          <w:color w:val="000000"/>
          <w:sz w:val="21"/>
        </w:rPr>
        <w:t>Scope</w:t>
      </w:r>
    </w:p>
    <w:p>
      <w:pPr>
        <w:pStyle w:val="ListBullet"/>
        <w:spacing w:after="80"/>
      </w:pPr>
      <w:r>
        <w:rPr>
          <w:rFonts w:ascii="Aptos" w:hAnsi="Aptos"/>
          <w:color w:val="000000"/>
          <w:sz w:val="21"/>
        </w:rPr>
        <w:t>Referrals</w:t>
      </w:r>
    </w:p>
    <w:p>
      <w:pPr>
        <w:pStyle w:val="ListBullet"/>
        <w:spacing w:after="80"/>
      </w:pPr>
      <w:r>
        <w:rPr>
          <w:rFonts w:ascii="Aptos" w:hAnsi="Aptos"/>
          <w:color w:val="000000"/>
          <w:sz w:val="21"/>
        </w:rPr>
        <w:t>Shared goals</w:t>
      </w:r>
    </w:p>
    <w:p>
      <w:pPr>
        <w:pStyle w:val="ListBullet"/>
        <w:spacing w:after="80"/>
      </w:pPr>
      <w:r>
        <w:rPr>
          <w:rFonts w:ascii="Aptos" w:hAnsi="Aptos"/>
          <w:color w:val="000000"/>
          <w:sz w:val="21"/>
        </w:rPr>
        <w:t>Social determinants of health</w:t>
      </w:r>
    </w:p>
    <w:p>
      <w:pPr>
        <w:pStyle w:val="Heading2"/>
      </w:pPr>
      <w:r>
        <w:t>Learning sequence</w:t>
      </w:r>
    </w:p>
    <w:p>
      <w:pPr>
        <w:spacing w:after="160"/>
      </w:pPr>
      <w:r>
        <w:rPr>
          <w:rFonts w:ascii="Aptos" w:hAnsi="Aptos"/>
          <w:color w:val="000000"/>
          <w:sz w:val="21"/>
        </w:rPr>
        <w:t>Start by defining the purpose of team-based care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roles, scope, referrals, shared goals, and social determinants of health.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team-based care safely, and what would require consultation or a local policy check?</w:t>
      </w:r>
    </w:p>
    <w:p>
      <w:r>
        <w:br w:type="page"/>
      </w:r>
    </w:p>
    <w:p>
      <w:pPr>
        <w:pStyle w:val="Heading1"/>
      </w:pPr>
      <w:r>
        <w:t>Module 2  Communication and coordination</w:t>
      </w:r>
    </w:p>
    <w:p>
      <w:r>
        <w:rPr>
          <w:rFonts w:ascii="Aptos" w:hAnsi="Aptos"/>
          <w:color w:val="000000"/>
          <w:sz w:val="22"/>
        </w:rPr>
        <w:t>This module focuses on case conferences, handovers, documentation, advocacy, and constructive disagreement.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Case conferences</w:t>
      </w:r>
    </w:p>
    <w:p>
      <w:pPr>
        <w:pStyle w:val="ListBullet"/>
        <w:spacing w:after="80"/>
      </w:pPr>
      <w:r>
        <w:rPr>
          <w:rFonts w:ascii="Aptos" w:hAnsi="Aptos"/>
          <w:color w:val="000000"/>
          <w:sz w:val="21"/>
        </w:rPr>
        <w:t>Handovers</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Advocacy</w:t>
      </w:r>
    </w:p>
    <w:p>
      <w:pPr>
        <w:pStyle w:val="ListBullet"/>
        <w:spacing w:after="80"/>
      </w:pPr>
      <w:r>
        <w:rPr>
          <w:rFonts w:ascii="Aptos" w:hAnsi="Aptos"/>
          <w:color w:val="000000"/>
          <w:sz w:val="21"/>
        </w:rPr>
        <w:t>Constructive disagreement</w:t>
      </w:r>
    </w:p>
    <w:p>
      <w:pPr>
        <w:pStyle w:val="Heading2"/>
      </w:pPr>
      <w:r>
        <w:t>Learning sequence</w:t>
      </w:r>
    </w:p>
    <w:p>
      <w:pPr>
        <w:spacing w:after="160"/>
      </w:pPr>
      <w:r>
        <w:rPr>
          <w:rFonts w:ascii="Aptos" w:hAnsi="Aptos"/>
          <w:color w:val="000000"/>
          <w:sz w:val="21"/>
        </w:rPr>
        <w:t>Start by defining the purpose of communication and coordination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case conferences, handovers, documentation, advocacy, and constructive disagreement.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communication and coordination safely, and what would require consultation or a local policy check?</w:t>
      </w:r>
    </w:p>
    <w:p>
      <w:r>
        <w:br w:type="page"/>
      </w:r>
    </w:p>
    <w:p>
      <w:pPr>
        <w:pStyle w:val="Heading1"/>
      </w:pPr>
      <w:r>
        <w:t>Module 3  Ethics and quality improvement</w:t>
      </w:r>
    </w:p>
    <w:p>
      <w:r>
        <w:rPr>
          <w:rFonts w:ascii="Aptos" w:hAnsi="Aptos"/>
          <w:color w:val="000000"/>
          <w:sz w:val="22"/>
        </w:rPr>
        <w:t>This module focuses on confidentiality, consent, equity, burnout prevention, and reflective practice.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Confidentiality</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Equity</w:t>
      </w:r>
    </w:p>
    <w:p>
      <w:pPr>
        <w:pStyle w:val="ListBullet"/>
        <w:spacing w:after="80"/>
      </w:pPr>
      <w:r>
        <w:rPr>
          <w:rFonts w:ascii="Aptos" w:hAnsi="Aptos"/>
          <w:color w:val="000000"/>
          <w:sz w:val="21"/>
        </w:rPr>
        <w:t>Burnout prevention</w:t>
      </w:r>
    </w:p>
    <w:p>
      <w:pPr>
        <w:pStyle w:val="ListBullet"/>
        <w:spacing w:after="80"/>
      </w:pPr>
      <w:r>
        <w:rPr>
          <w:rFonts w:ascii="Aptos" w:hAnsi="Aptos"/>
          <w:color w:val="000000"/>
          <w:sz w:val="21"/>
        </w:rPr>
        <w:t>Reflective practice</w:t>
      </w:r>
    </w:p>
    <w:p>
      <w:pPr>
        <w:pStyle w:val="Heading2"/>
      </w:pPr>
      <w:r>
        <w:t>Learning sequence</w:t>
      </w:r>
    </w:p>
    <w:p>
      <w:pPr>
        <w:spacing w:after="160"/>
      </w:pPr>
      <w:r>
        <w:rPr>
          <w:rFonts w:ascii="Aptos" w:hAnsi="Aptos"/>
          <w:color w:val="000000"/>
          <w:sz w:val="21"/>
        </w:rPr>
        <w:t>Start by defining the purpose of ethics and quality improvement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confidentiality, consent, equity, burnout prevention, and reflective practice.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ethics and quality improvement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roles.</w:t>
      </w:r>
    </w:p>
    <w:p>
      <w:pPr>
        <w:pStyle w:val="ListBullet"/>
        <w:spacing w:after="80"/>
      </w:pPr>
      <w:r>
        <w:rPr>
          <w:rFonts w:ascii="Aptos" w:hAnsi="Aptos"/>
          <w:color w:val="000000"/>
          <w:sz w:val="21"/>
        </w:rPr>
        <w:t>Review the distinction between: communication.</w:t>
      </w:r>
    </w:p>
    <w:p>
      <w:pPr>
        <w:pStyle w:val="ListBullet"/>
        <w:spacing w:after="80"/>
      </w:pPr>
      <w:r>
        <w:rPr>
          <w:rFonts w:ascii="Aptos" w:hAnsi="Aptos"/>
          <w:color w:val="000000"/>
          <w:sz w:val="21"/>
        </w:rPr>
        <w:t>Review the distinction between: confidentiality.</w:t>
      </w:r>
    </w:p>
    <w:p>
      <w:pPr>
        <w:pStyle w:val="ListBullet"/>
        <w:spacing w:after="80"/>
      </w:pPr>
      <w:r>
        <w:rPr>
          <w:rFonts w:ascii="Aptos" w:hAnsi="Aptos"/>
          <w:color w:val="000000"/>
          <w:sz w:val="21"/>
        </w:rPr>
        <w:t>Review the distinction between: advocacy.</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Interdisciplinary Collaboration in Healthcare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