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Student Support &amp; Attendance</w:t>
      </w:r>
    </w:p>
    <w:p>
      <w:pPr>
        <w:spacing w:after="320"/>
      </w:pPr>
      <w:r>
        <w:rPr>
          <w:rFonts w:ascii="Aptos" w:hAnsi="Aptos"/>
          <w:color w:val="595959"/>
          <w:sz w:val="24"/>
        </w:rPr>
        <w:t>Learner guide  |  SWP-019  |  School of School Social Work</w:t>
      </w:r>
    </w:p>
    <w:p>
      <w:pPr>
        <w:spacing w:after="200"/>
      </w:pPr>
      <w:r>
        <w:rPr>
          <w:rFonts w:ascii="Aptos" w:hAnsi="Aptos"/>
          <w:color w:val="000000"/>
          <w:sz w:val="23"/>
        </w:rPr>
        <w:t>This guide supports a three-part learning sequence for Student Support &amp; Attendance. By the end of the course, you should be able to identify attendance barriers and coordinate supportive, non-punitive interventions.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Identify attendance barriers and coordinate supportive, non-punitive interventions.</w:t>
      </w:r>
    </w:p>
    <w:p>
      <w:pPr>
        <w:pStyle w:val="ListBullet"/>
        <w:spacing w:after="80"/>
      </w:pPr>
      <w:r>
        <w:rPr>
          <w:rFonts w:ascii="Aptos" w:hAnsi="Aptos"/>
          <w:color w:val="000000"/>
          <w:sz w:val="21"/>
        </w:rPr>
        <w:t>Apply the key ideas from Understanding absenteeism.</w:t>
      </w:r>
    </w:p>
    <w:p>
      <w:pPr>
        <w:pStyle w:val="ListBullet"/>
        <w:spacing w:after="80"/>
      </w:pPr>
      <w:r>
        <w:rPr>
          <w:rFonts w:ascii="Aptos" w:hAnsi="Aptos"/>
          <w:color w:val="000000"/>
          <w:sz w:val="21"/>
        </w:rPr>
        <w:t>Apply the key ideas from Student and family engagement.</w:t>
      </w:r>
    </w:p>
    <w:p>
      <w:pPr>
        <w:pStyle w:val="ListBullet"/>
        <w:spacing w:after="80"/>
      </w:pPr>
      <w:r>
        <w:rPr>
          <w:rFonts w:ascii="Aptos" w:hAnsi="Aptos"/>
          <w:color w:val="000000"/>
          <w:sz w:val="21"/>
        </w:rPr>
        <w:t>Apply the key ideas from Intervention and monitoring.</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Understanding absenteeism</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attendance patterns, barriers, equity, safeguarding, and early warning data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Student and family engagement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assessment, strengths, home-school partnership, and culturally responsive communication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Intervention and monitoring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individual plans, referrals, attendance review, and escalation pathways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Understanding absenteeism</w:t>
      </w:r>
    </w:p>
    <w:p>
      <w:r>
        <w:rPr>
          <w:rFonts w:ascii="Aptos" w:hAnsi="Aptos"/>
          <w:color w:val="000000"/>
          <w:sz w:val="22"/>
        </w:rPr>
        <w:t>This module focuses on attendance patterns, barriers, equity, safeguarding, and early warning data.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Attendance patterns</w:t>
      </w:r>
    </w:p>
    <w:p>
      <w:pPr>
        <w:pStyle w:val="ListBullet"/>
        <w:spacing w:after="80"/>
      </w:pPr>
      <w:r>
        <w:rPr>
          <w:rFonts w:ascii="Aptos" w:hAnsi="Aptos"/>
          <w:color w:val="000000"/>
          <w:sz w:val="21"/>
        </w:rPr>
        <w:t>Barriers</w:t>
      </w:r>
    </w:p>
    <w:p>
      <w:pPr>
        <w:pStyle w:val="ListBullet"/>
        <w:spacing w:after="80"/>
      </w:pPr>
      <w:r>
        <w:rPr>
          <w:rFonts w:ascii="Aptos" w:hAnsi="Aptos"/>
          <w:color w:val="000000"/>
          <w:sz w:val="21"/>
        </w:rPr>
        <w:t>Equity</w:t>
      </w:r>
    </w:p>
    <w:p>
      <w:pPr>
        <w:pStyle w:val="ListBullet"/>
        <w:spacing w:after="80"/>
      </w:pPr>
      <w:r>
        <w:rPr>
          <w:rFonts w:ascii="Aptos" w:hAnsi="Aptos"/>
          <w:color w:val="000000"/>
          <w:sz w:val="21"/>
        </w:rPr>
        <w:t>Safeguarding</w:t>
      </w:r>
    </w:p>
    <w:p>
      <w:pPr>
        <w:pStyle w:val="ListBullet"/>
        <w:spacing w:after="80"/>
      </w:pPr>
      <w:r>
        <w:rPr>
          <w:rFonts w:ascii="Aptos" w:hAnsi="Aptos"/>
          <w:color w:val="000000"/>
          <w:sz w:val="21"/>
        </w:rPr>
        <w:t>Early warning data</w:t>
      </w:r>
    </w:p>
    <w:p>
      <w:pPr>
        <w:pStyle w:val="Heading2"/>
      </w:pPr>
      <w:r>
        <w:t>Learning sequence</w:t>
      </w:r>
    </w:p>
    <w:p>
      <w:pPr>
        <w:spacing w:after="160"/>
      </w:pPr>
      <w:r>
        <w:rPr>
          <w:rFonts w:ascii="Aptos" w:hAnsi="Aptos"/>
          <w:color w:val="000000"/>
          <w:sz w:val="21"/>
        </w:rPr>
        <w:t>Start by defining the purpose of understanding absenteeism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attendance patterns, barriers, equity, safeguarding, and early warning data.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understanding absenteeism safely, and what would require consultation or a local policy check?</w:t>
      </w:r>
    </w:p>
    <w:p>
      <w:r>
        <w:br w:type="page"/>
      </w:r>
    </w:p>
    <w:p>
      <w:pPr>
        <w:pStyle w:val="Heading1"/>
      </w:pPr>
      <w:r>
        <w:t>Module 2  Student and family engagement</w:t>
      </w:r>
    </w:p>
    <w:p>
      <w:r>
        <w:rPr>
          <w:rFonts w:ascii="Aptos" w:hAnsi="Aptos"/>
          <w:color w:val="000000"/>
          <w:sz w:val="22"/>
        </w:rPr>
        <w:t>This module focuses on assessment, strengths, home-school partnership, and culturally responsive communication.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Assessment</w:t>
      </w:r>
    </w:p>
    <w:p>
      <w:pPr>
        <w:pStyle w:val="ListBullet"/>
        <w:spacing w:after="80"/>
      </w:pPr>
      <w:r>
        <w:rPr>
          <w:rFonts w:ascii="Aptos" w:hAnsi="Aptos"/>
          <w:color w:val="000000"/>
          <w:sz w:val="21"/>
        </w:rPr>
        <w:t>Strengths</w:t>
      </w:r>
    </w:p>
    <w:p>
      <w:pPr>
        <w:pStyle w:val="ListBullet"/>
        <w:spacing w:after="80"/>
      </w:pPr>
      <w:r>
        <w:rPr>
          <w:rFonts w:ascii="Aptos" w:hAnsi="Aptos"/>
          <w:color w:val="000000"/>
          <w:sz w:val="21"/>
        </w:rPr>
        <w:t>Home-school partnership</w:t>
      </w:r>
    </w:p>
    <w:p>
      <w:pPr>
        <w:pStyle w:val="ListBullet"/>
        <w:spacing w:after="80"/>
      </w:pPr>
      <w:r>
        <w:rPr>
          <w:rFonts w:ascii="Aptos" w:hAnsi="Aptos"/>
          <w:color w:val="000000"/>
          <w:sz w:val="21"/>
        </w:rPr>
        <w:t>Culturally responsive communication</w:t>
      </w:r>
    </w:p>
    <w:p>
      <w:pPr>
        <w:pStyle w:val="Heading2"/>
      </w:pPr>
      <w:r>
        <w:t>Learning sequence</w:t>
      </w:r>
    </w:p>
    <w:p>
      <w:pPr>
        <w:spacing w:after="160"/>
      </w:pPr>
      <w:r>
        <w:rPr>
          <w:rFonts w:ascii="Aptos" w:hAnsi="Aptos"/>
          <w:color w:val="000000"/>
          <w:sz w:val="21"/>
        </w:rPr>
        <w:t>Start by defining the purpose of student and family engagement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assessment, strengths, home-school partnership, and culturally responsive communication.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student and family engagement safely, and what would require consultation or a local policy check?</w:t>
      </w:r>
    </w:p>
    <w:p>
      <w:r>
        <w:br w:type="page"/>
      </w:r>
    </w:p>
    <w:p>
      <w:pPr>
        <w:pStyle w:val="Heading1"/>
      </w:pPr>
      <w:r>
        <w:t>Module 3  Intervention and monitoring</w:t>
      </w:r>
    </w:p>
    <w:p>
      <w:r>
        <w:rPr>
          <w:rFonts w:ascii="Aptos" w:hAnsi="Aptos"/>
          <w:color w:val="000000"/>
          <w:sz w:val="22"/>
        </w:rPr>
        <w:t>This module focuses on individual plans, referrals, attendance review, and escalation pathways.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Individual plans</w:t>
      </w:r>
    </w:p>
    <w:p>
      <w:pPr>
        <w:pStyle w:val="ListBullet"/>
        <w:spacing w:after="80"/>
      </w:pPr>
      <w:r>
        <w:rPr>
          <w:rFonts w:ascii="Aptos" w:hAnsi="Aptos"/>
          <w:color w:val="000000"/>
          <w:sz w:val="21"/>
        </w:rPr>
        <w:t>Referrals</w:t>
      </w:r>
    </w:p>
    <w:p>
      <w:pPr>
        <w:pStyle w:val="ListBullet"/>
        <w:spacing w:after="80"/>
      </w:pPr>
      <w:r>
        <w:rPr>
          <w:rFonts w:ascii="Aptos" w:hAnsi="Aptos"/>
          <w:color w:val="000000"/>
          <w:sz w:val="21"/>
        </w:rPr>
        <w:t>Attendance review</w:t>
      </w:r>
    </w:p>
    <w:p>
      <w:pPr>
        <w:pStyle w:val="ListBullet"/>
        <w:spacing w:after="80"/>
      </w:pPr>
      <w:r>
        <w:rPr>
          <w:rFonts w:ascii="Aptos" w:hAnsi="Aptos"/>
          <w:color w:val="000000"/>
          <w:sz w:val="21"/>
        </w:rPr>
        <w:t>Escalation pathways</w:t>
      </w:r>
    </w:p>
    <w:p>
      <w:pPr>
        <w:pStyle w:val="Heading2"/>
      </w:pPr>
      <w:r>
        <w:t>Learning sequence</w:t>
      </w:r>
    </w:p>
    <w:p>
      <w:pPr>
        <w:spacing w:after="160"/>
      </w:pPr>
      <w:r>
        <w:rPr>
          <w:rFonts w:ascii="Aptos" w:hAnsi="Aptos"/>
          <w:color w:val="000000"/>
          <w:sz w:val="21"/>
        </w:rPr>
        <w:t>Start by defining the purpose of intervention and monitoring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individual plans, referrals, attendance review, and escalation pathways.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intervention and monitoring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barriers.</w:t>
      </w:r>
    </w:p>
    <w:p>
      <w:pPr>
        <w:pStyle w:val="ListBullet"/>
        <w:spacing w:after="80"/>
      </w:pPr>
      <w:r>
        <w:rPr>
          <w:rFonts w:ascii="Aptos" w:hAnsi="Aptos"/>
          <w:color w:val="000000"/>
          <w:sz w:val="21"/>
        </w:rPr>
        <w:t>Review the distinction between: early intervention.</w:t>
      </w:r>
    </w:p>
    <w:p>
      <w:pPr>
        <w:pStyle w:val="ListBullet"/>
        <w:spacing w:after="80"/>
      </w:pPr>
      <w:r>
        <w:rPr>
          <w:rFonts w:ascii="Aptos" w:hAnsi="Aptos"/>
          <w:color w:val="000000"/>
          <w:sz w:val="21"/>
        </w:rPr>
        <w:t>Review the distinction between: safeguarding.</w:t>
      </w:r>
    </w:p>
    <w:p>
      <w:pPr>
        <w:pStyle w:val="ListBullet"/>
        <w:spacing w:after="80"/>
      </w:pPr>
      <w:r>
        <w:rPr>
          <w:rFonts w:ascii="Aptos" w:hAnsi="Aptos"/>
          <w:color w:val="000000"/>
          <w:sz w:val="21"/>
        </w:rPr>
        <w:t>Review the distinction between: monitoring.</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Support &amp; Attendance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