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Behavioral &amp; Emotional Support in Schools</w:t>
      </w:r>
    </w:p>
    <w:p>
      <w:pPr>
        <w:spacing w:after="320"/>
      </w:pPr>
      <w:r>
        <w:rPr>
          <w:rFonts w:ascii="Aptos" w:hAnsi="Aptos"/>
          <w:color w:val="595959"/>
          <w:sz w:val="24"/>
        </w:rPr>
        <w:t>Learner guide  |  SWP-020  |  School of School Social Work</w:t>
      </w:r>
    </w:p>
    <w:p>
      <w:pPr>
        <w:spacing w:after="200"/>
      </w:pPr>
      <w:r>
        <w:rPr>
          <w:rFonts w:ascii="Aptos" w:hAnsi="Aptos"/>
          <w:color w:val="000000"/>
          <w:sz w:val="23"/>
        </w:rPr>
        <w:t>This guide supports a three-part learning sequence for Behavioral &amp; Emotional Support in Schools. By the end of the course, you should be able to apply trauma-informed, positive, and inclusive support for students’ behavioural and emotional needs.</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Learning objectives</w:t>
      </w:r>
    </w:p>
    <w:p>
      <w:pPr>
        <w:pStyle w:val="ListBullet"/>
        <w:spacing w:after="80"/>
      </w:pPr>
      <w:r>
        <w:rPr>
          <w:rFonts w:ascii="Aptos" w:hAnsi="Aptos"/>
          <w:color w:val="000000"/>
          <w:sz w:val="21"/>
        </w:rPr>
        <w:t>Apply trauma-informed, positive, and inclusive support for students’ behavioural and emotional needs.</w:t>
      </w:r>
    </w:p>
    <w:p>
      <w:pPr>
        <w:pStyle w:val="ListBullet"/>
        <w:spacing w:after="80"/>
      </w:pPr>
      <w:r>
        <w:rPr>
          <w:rFonts w:ascii="Aptos" w:hAnsi="Aptos"/>
          <w:color w:val="000000"/>
          <w:sz w:val="21"/>
        </w:rPr>
        <w:t>Apply the key ideas from Behaviour as communication.</w:t>
      </w:r>
    </w:p>
    <w:p>
      <w:pPr>
        <w:pStyle w:val="ListBullet"/>
        <w:spacing w:after="80"/>
      </w:pPr>
      <w:r>
        <w:rPr>
          <w:rFonts w:ascii="Aptos" w:hAnsi="Aptos"/>
          <w:color w:val="000000"/>
          <w:sz w:val="21"/>
        </w:rPr>
        <w:t>Apply the key ideas from Tiered supports.</w:t>
      </w:r>
    </w:p>
    <w:p>
      <w:pPr>
        <w:pStyle w:val="ListBullet"/>
        <w:spacing w:after="80"/>
      </w:pPr>
      <w:r>
        <w:rPr>
          <w:rFonts w:ascii="Aptos" w:hAnsi="Aptos"/>
          <w:color w:val="000000"/>
          <w:sz w:val="21"/>
        </w:rPr>
        <w:t>Apply the key ideas from Collaboration and review.</w:t>
      </w:r>
    </w:p>
    <w:p>
      <w:pPr>
        <w:pStyle w:val="Heading1"/>
      </w:pPr>
      <w:r>
        <w:t>Course structure</w:t>
      </w:r>
    </w:p>
    <w:tbl>
      <w:tblPr>
        <w:tblStyle w:val="TableGrid"/>
        <w:tblW w:type="auto" w:w="0"/>
        <w:tblLook w:firstColumn="1" w:firstRow="1" w:lastColumn="0" w:lastRow="0" w:noHBand="0" w:noVBand="1" w:val="04A0"/>
      </w:tblPr>
      <w:tblGrid>
        <w:gridCol w:w="3293"/>
        <w:gridCol w:w="3293"/>
        <w:gridCol w:w="3293"/>
      </w:tblGrid>
      <w:tr>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Module</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Focus</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Suggested study time</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1. Behaviour as communication</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development, trauma, neurodiversity, culture, and avoiding punitive assumptions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2. Tiered supports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classroom strategies, individual plans, crisis response, and referrals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3. Collaboration and review</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student voice, caregiver partnership, teacher consultation, documentation, and outcome monitoring</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bl>
    <w:p>
      <w:r>
        <w:br w:type="page"/>
      </w:r>
    </w:p>
    <w:p>
      <w:pPr>
        <w:pStyle w:val="Heading1"/>
      </w:pPr>
      <w:r>
        <w:t>Module 1  Behaviour as communication</w:t>
      </w:r>
    </w:p>
    <w:p>
      <w:r>
        <w:rPr>
          <w:rFonts w:ascii="Aptos" w:hAnsi="Aptos"/>
          <w:color w:val="000000"/>
          <w:sz w:val="22"/>
        </w:rPr>
        <w:t>This module focuses on development, trauma, neurodiversity, culture, and avoiding punitive assumptions.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Development</w:t>
      </w:r>
    </w:p>
    <w:p>
      <w:pPr>
        <w:pStyle w:val="ListBullet"/>
        <w:spacing w:after="80"/>
      </w:pPr>
      <w:r>
        <w:rPr>
          <w:rFonts w:ascii="Aptos" w:hAnsi="Aptos"/>
          <w:color w:val="000000"/>
          <w:sz w:val="21"/>
        </w:rPr>
        <w:t>Trauma</w:t>
      </w:r>
    </w:p>
    <w:p>
      <w:pPr>
        <w:pStyle w:val="ListBullet"/>
        <w:spacing w:after="80"/>
      </w:pPr>
      <w:r>
        <w:rPr>
          <w:rFonts w:ascii="Aptos" w:hAnsi="Aptos"/>
          <w:color w:val="000000"/>
          <w:sz w:val="21"/>
        </w:rPr>
        <w:t>Neurodiversity</w:t>
      </w:r>
    </w:p>
    <w:p>
      <w:pPr>
        <w:pStyle w:val="ListBullet"/>
        <w:spacing w:after="80"/>
      </w:pPr>
      <w:r>
        <w:rPr>
          <w:rFonts w:ascii="Aptos" w:hAnsi="Aptos"/>
          <w:color w:val="000000"/>
          <w:sz w:val="21"/>
        </w:rPr>
        <w:t>Culture</w:t>
      </w:r>
    </w:p>
    <w:p>
      <w:pPr>
        <w:pStyle w:val="ListBullet"/>
        <w:spacing w:after="80"/>
      </w:pPr>
      <w:r>
        <w:rPr>
          <w:rFonts w:ascii="Aptos" w:hAnsi="Aptos"/>
          <w:color w:val="000000"/>
          <w:sz w:val="21"/>
        </w:rPr>
        <w:t>Avoiding punitive assumptions</w:t>
      </w:r>
    </w:p>
    <w:p>
      <w:pPr>
        <w:pStyle w:val="Heading2"/>
      </w:pPr>
      <w:r>
        <w:t>Learning sequence</w:t>
      </w:r>
    </w:p>
    <w:p>
      <w:pPr>
        <w:spacing w:after="160"/>
      </w:pPr>
      <w:r>
        <w:rPr>
          <w:rFonts w:ascii="Aptos" w:hAnsi="Aptos"/>
          <w:color w:val="000000"/>
          <w:sz w:val="21"/>
        </w:rPr>
        <w:t>Start by defining the purpose of behaviour as communication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development, trauma, neurodiversity, culture, and avoiding punitive assumptions.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behaviour as communication safely, and what would require consultation or a local policy check?</w:t>
      </w:r>
    </w:p>
    <w:p>
      <w:r>
        <w:br w:type="page"/>
      </w:r>
    </w:p>
    <w:p>
      <w:pPr>
        <w:pStyle w:val="Heading1"/>
      </w:pPr>
      <w:r>
        <w:t>Module 2  Tiered supports</w:t>
      </w:r>
    </w:p>
    <w:p>
      <w:r>
        <w:rPr>
          <w:rFonts w:ascii="Aptos" w:hAnsi="Aptos"/>
          <w:color w:val="000000"/>
          <w:sz w:val="22"/>
        </w:rPr>
        <w:t>This module focuses on classroom strategies, individual plans, crisis response, and referrals.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Classroom strategies</w:t>
      </w:r>
    </w:p>
    <w:p>
      <w:pPr>
        <w:pStyle w:val="ListBullet"/>
        <w:spacing w:after="80"/>
      </w:pPr>
      <w:r>
        <w:rPr>
          <w:rFonts w:ascii="Aptos" w:hAnsi="Aptos"/>
          <w:color w:val="000000"/>
          <w:sz w:val="21"/>
        </w:rPr>
        <w:t>Individual plans</w:t>
      </w:r>
    </w:p>
    <w:p>
      <w:pPr>
        <w:pStyle w:val="ListBullet"/>
        <w:spacing w:after="80"/>
      </w:pPr>
      <w:r>
        <w:rPr>
          <w:rFonts w:ascii="Aptos" w:hAnsi="Aptos"/>
          <w:color w:val="000000"/>
          <w:sz w:val="21"/>
        </w:rPr>
        <w:t>Crisis response</w:t>
      </w:r>
    </w:p>
    <w:p>
      <w:pPr>
        <w:pStyle w:val="ListBullet"/>
        <w:spacing w:after="80"/>
      </w:pPr>
      <w:r>
        <w:rPr>
          <w:rFonts w:ascii="Aptos" w:hAnsi="Aptos"/>
          <w:color w:val="000000"/>
          <w:sz w:val="21"/>
        </w:rPr>
        <w:t>Referrals</w:t>
      </w:r>
    </w:p>
    <w:p>
      <w:pPr>
        <w:pStyle w:val="Heading2"/>
      </w:pPr>
      <w:r>
        <w:t>Learning sequence</w:t>
      </w:r>
    </w:p>
    <w:p>
      <w:pPr>
        <w:spacing w:after="160"/>
      </w:pPr>
      <w:r>
        <w:rPr>
          <w:rFonts w:ascii="Aptos" w:hAnsi="Aptos"/>
          <w:color w:val="000000"/>
          <w:sz w:val="21"/>
        </w:rPr>
        <w:t>Start by defining the purpose of tiered supports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classroom strategies, individual plans, crisis response, and referrals.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tiered supports safely, and what would require consultation or a local policy check?</w:t>
      </w:r>
    </w:p>
    <w:p>
      <w:r>
        <w:br w:type="page"/>
      </w:r>
    </w:p>
    <w:p>
      <w:pPr>
        <w:pStyle w:val="Heading1"/>
      </w:pPr>
      <w:r>
        <w:t>Module 3  Collaboration and review</w:t>
      </w:r>
    </w:p>
    <w:p>
      <w:r>
        <w:rPr>
          <w:rFonts w:ascii="Aptos" w:hAnsi="Aptos"/>
          <w:color w:val="000000"/>
          <w:sz w:val="22"/>
        </w:rPr>
        <w:t>This module focuses on student voice, caregiver partnership, teacher consultation, documentation, and outcome monitoring.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Student voice</w:t>
      </w:r>
    </w:p>
    <w:p>
      <w:pPr>
        <w:pStyle w:val="ListBullet"/>
        <w:spacing w:after="80"/>
      </w:pPr>
      <w:r>
        <w:rPr>
          <w:rFonts w:ascii="Aptos" w:hAnsi="Aptos"/>
          <w:color w:val="000000"/>
          <w:sz w:val="21"/>
        </w:rPr>
        <w:t>Caregiver partnership</w:t>
      </w:r>
    </w:p>
    <w:p>
      <w:pPr>
        <w:pStyle w:val="ListBullet"/>
        <w:spacing w:after="80"/>
      </w:pPr>
      <w:r>
        <w:rPr>
          <w:rFonts w:ascii="Aptos" w:hAnsi="Aptos"/>
          <w:color w:val="000000"/>
          <w:sz w:val="21"/>
        </w:rPr>
        <w:t>Teacher consultation</w:t>
      </w:r>
    </w:p>
    <w:p>
      <w:pPr>
        <w:pStyle w:val="ListBullet"/>
        <w:spacing w:after="80"/>
      </w:pPr>
      <w:r>
        <w:rPr>
          <w:rFonts w:ascii="Aptos" w:hAnsi="Aptos"/>
          <w:color w:val="000000"/>
          <w:sz w:val="21"/>
        </w:rPr>
        <w:t>Documentation</w:t>
      </w:r>
    </w:p>
    <w:p>
      <w:pPr>
        <w:pStyle w:val="ListBullet"/>
        <w:spacing w:after="80"/>
      </w:pPr>
      <w:r>
        <w:rPr>
          <w:rFonts w:ascii="Aptos" w:hAnsi="Aptos"/>
          <w:color w:val="000000"/>
          <w:sz w:val="21"/>
        </w:rPr>
        <w:t>Outcome monitoring</w:t>
      </w:r>
    </w:p>
    <w:p>
      <w:pPr>
        <w:pStyle w:val="Heading2"/>
      </w:pPr>
      <w:r>
        <w:t>Learning sequence</w:t>
      </w:r>
    </w:p>
    <w:p>
      <w:pPr>
        <w:spacing w:after="160"/>
      </w:pPr>
      <w:r>
        <w:rPr>
          <w:rFonts w:ascii="Aptos" w:hAnsi="Aptos"/>
          <w:color w:val="000000"/>
          <w:sz w:val="21"/>
        </w:rPr>
        <w:t>Start by defining the purpose of collaboration and review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student voice, caregiver partnership, teacher consultation, documentation, and outcome monitoring.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collaboration and review safely, and what would require consultation or a local policy check?</w:t>
      </w:r>
    </w:p>
    <w:p>
      <w:r>
        <w:br w:type="page"/>
      </w:r>
    </w:p>
    <w:p>
      <w:pPr>
        <w:pStyle w:val="Heading1"/>
      </w:pPr>
      <w:r>
        <w:t>Course activity</w:t>
      </w:r>
    </w:p>
    <w:p>
      <w:r>
        <w:rPr>
          <w:rFonts w:ascii="Aptos" w:hAnsi="Aptos"/>
          <w:color w:val="000000"/>
          <w:sz w:val="21"/>
        </w:rPr>
        <w:t>Use the accompanying worksheet to apply the course sequence to a short case. Your completed activity should show what you noticed, the action you would take within your role, and what you would escalate or verify locally.</w:t>
      </w:r>
    </w:p>
    <w:p>
      <w:pPr>
        <w:pStyle w:val="Heading1"/>
      </w:pPr>
      <w:r>
        <w:t>Assessment preparation</w:t>
      </w:r>
    </w:p>
    <w:p>
      <w:pPr>
        <w:pStyle w:val="ListBullet"/>
        <w:spacing w:after="80"/>
      </w:pPr>
      <w:r>
        <w:rPr>
          <w:rFonts w:ascii="Aptos" w:hAnsi="Aptos"/>
          <w:color w:val="000000"/>
          <w:sz w:val="21"/>
        </w:rPr>
        <w:t>Review the distinction between: trauma-informed practice.</w:t>
      </w:r>
    </w:p>
    <w:p>
      <w:pPr>
        <w:pStyle w:val="ListBullet"/>
        <w:spacing w:after="80"/>
      </w:pPr>
      <w:r>
        <w:rPr>
          <w:rFonts w:ascii="Aptos" w:hAnsi="Aptos"/>
          <w:color w:val="000000"/>
          <w:sz w:val="21"/>
        </w:rPr>
        <w:t>Review the distinction between: tiers of support.</w:t>
      </w:r>
    </w:p>
    <w:p>
      <w:pPr>
        <w:pStyle w:val="ListBullet"/>
        <w:spacing w:after="80"/>
      </w:pPr>
      <w:r>
        <w:rPr>
          <w:rFonts w:ascii="Aptos" w:hAnsi="Aptos"/>
          <w:color w:val="000000"/>
          <w:sz w:val="21"/>
        </w:rPr>
        <w:t>Review the distinction between: inclusive response.</w:t>
      </w:r>
    </w:p>
    <w:p>
      <w:pPr>
        <w:pStyle w:val="Heading1"/>
      </w:pPr>
      <w:r>
        <w:t>References and local adaptation</w:t>
      </w:r>
    </w:p>
    <w:p>
      <w:pPr>
        <w:pStyle w:val="ListBullet"/>
        <w:spacing w:after="80"/>
      </w:pPr>
      <w:r>
        <w:rPr>
          <w:rFonts w:ascii="Aptos" w:hAnsi="Aptos"/>
          <w:color w:val="000000"/>
          <w:sz w:val="21"/>
        </w:rPr>
        <w:t>SWEEP Academy Course Content Outlines, production blueprint for this course.</w:t>
      </w:r>
    </w:p>
    <w:p>
      <w:pPr>
        <w:pStyle w:val="ListBullet"/>
        <w:spacing w:after="80"/>
      </w:pPr>
      <w:r>
        <w:rPr>
          <w:rFonts w:ascii="Aptos" w:hAnsi="Aptos"/>
          <w:color w:val="000000"/>
          <w:sz w:val="21"/>
        </w:rPr>
        <w:t>The current legislation, professional standards, safeguarding procedures, and referral directories for the delivery jurisdiction.</w:t>
      </w:r>
    </w:p>
    <w:p>
      <w:pPr>
        <w:pStyle w:val="ListBullet"/>
        <w:spacing w:after="80"/>
      </w:pPr>
      <w:r>
        <w:rPr>
          <w:rFonts w:ascii="Aptos" w:hAnsi="Aptos"/>
          <w:color w:val="000000"/>
          <w:sz w:val="21"/>
        </w:rPr>
        <w:t>The learner's employer or placement policy, supervision arrangements, and documentation standards.</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Behavioral &amp; Emotional Support in Schools Learner Guide</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