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School systems and climate</w:t>
      </w:r>
    </w:p>
    <w:p>
      <w:pPr>
        <w:spacing w:after="320"/>
      </w:pPr>
      <w:r>
        <w:rPr>
          <w:rFonts w:ascii="Aptos" w:hAnsi="Aptos"/>
          <w:color w:val="595959"/>
          <w:sz w:val="24"/>
        </w:rPr>
        <w:t>Video plan and transcript  |  School-Wide Systems &amp; Policy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school systems and climate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School systems and climate. In this lesson, we focus on discipline, inclusion, wellbeing, safeguarding, and data-informed problem identification. The aim is to help you connect the topic to the course outcome: Influence school climate, procedures, and policy using social-work and equity principles.</w:t>
      </w:r>
    </w:p>
    <w:p>
      <w:pPr>
        <w:pStyle w:val="Heading2"/>
      </w:pPr>
      <w:r>
        <w:t>Set the frame 1:00 to 3:00</w:t>
      </w:r>
    </w:p>
    <w:p>
      <w:r>
        <w:rPr>
          <w:rFonts w:ascii="Aptos" w:hAnsi="Aptos"/>
          <w:color w:val="000000"/>
          <w:sz w:val="21"/>
        </w:rPr>
        <w:t>Begin with the purpose of this work. School systems and climate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discipline, inclusion, wellbeing, safeguarding, and data-informed problem identification.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school-wide systems &amp; policy.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school systems and climate safely and respectfully? Use the worksheet to write a short response. The next step is to connect this learning with policy analysis and improvement.</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School-Wide Systems &amp; Policy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